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97" w:rsidRDefault="007B3897" w:rsidP="007B389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="00C50717">
        <w:rPr>
          <w:noProof/>
          <w:lang w:eastAsia="ru-RU"/>
        </w:rPr>
        <w:drawing>
          <wp:inline distT="0" distB="0" distL="0" distR="0" wp14:anchorId="4B0941FF" wp14:editId="51695AA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897" w:rsidRDefault="007B3897" w:rsidP="007B389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7B3897" w:rsidRDefault="007B3897" w:rsidP="007B38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A74602">
        <w:rPr>
          <w:rFonts w:ascii="Times New Roman" w:eastAsia="Times New Roman" w:hAnsi="Times New Roman"/>
          <w:b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B3897" w:rsidRDefault="007B3897" w:rsidP="007B38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7B3897" w:rsidRDefault="007B3897" w:rsidP="007B38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7B3897" w:rsidRDefault="007B3897" w:rsidP="007B38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B3897" w:rsidRDefault="007B3897" w:rsidP="007B3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897" w:rsidRDefault="006A12C6" w:rsidP="007B389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15.11</w:t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.2017</w:t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B38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№ </w:t>
      </w:r>
      <w:r w:rsidR="00DF2A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166</w:t>
      </w:r>
    </w:p>
    <w:p w:rsidR="007B3897" w:rsidRDefault="007B3897" w:rsidP="007B3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A74602">
        <w:rPr>
          <w:rFonts w:ascii="Times New Roman" w:eastAsia="Times New Roman" w:hAnsi="Times New Roman"/>
          <w:sz w:val="24"/>
          <w:szCs w:val="24"/>
          <w:lang w:eastAsia="ru-RU"/>
        </w:rPr>
        <w:t xml:space="preserve">х. </w:t>
      </w:r>
      <w:proofErr w:type="spellStart"/>
      <w:r w:rsidR="00A74602">
        <w:rPr>
          <w:rFonts w:ascii="Times New Roman" w:eastAsia="Times New Roman" w:hAnsi="Times New Roman"/>
          <w:sz w:val="24"/>
          <w:szCs w:val="24"/>
          <w:lang w:eastAsia="ru-RU"/>
        </w:rPr>
        <w:t>Бураковский</w:t>
      </w:r>
      <w:proofErr w:type="spellEnd"/>
    </w:p>
    <w:p w:rsidR="00A74602" w:rsidRDefault="00A74602" w:rsidP="007B38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 благоустройства  территории </w:t>
      </w:r>
      <w:r w:rsidR="00A74602">
        <w:rPr>
          <w:rFonts w:ascii="Times New Roman" w:eastAsia="Times New Roman" w:hAnsi="Times New Roman"/>
          <w:b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 поселения Кореновского района</w:t>
      </w:r>
    </w:p>
    <w:p w:rsidR="00A74602" w:rsidRDefault="00A74602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 06 октября 2003 года            № 131-ФЗ «Об общих принципах организации местного самоуправления в Российской Федерации», уставом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с целью создания благоприятных условий для жизнедеятельности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охраны окружающей среды, обеспечения безопасности дорожного движения, сохранения жизни, здоровья и имущества граждан, проживающих на территории на территории поселения, Совет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района,   р е ш и л:</w:t>
      </w:r>
    </w:p>
    <w:p w:rsidR="007B3897" w:rsidRDefault="00C50717" w:rsidP="00C50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1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</w:t>
      </w:r>
      <w:bookmarkStart w:id="1" w:name="sub_102"/>
      <w:bookmarkEnd w:id="0"/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(прилагается).</w:t>
      </w:r>
    </w:p>
    <w:p w:rsidR="007B3897" w:rsidRPr="006F6C10" w:rsidRDefault="006F6C10" w:rsidP="006F6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>Признать у</w:t>
      </w:r>
      <w:r w:rsidR="00E26555">
        <w:rPr>
          <w:rFonts w:ascii="Times New Roman" w:eastAsia="Times New Roman" w:hAnsi="Times New Roman"/>
          <w:sz w:val="28"/>
          <w:szCs w:val="28"/>
          <w:lang w:eastAsia="ru-RU"/>
        </w:rPr>
        <w:t>тратившими силу решения Совета Бураковского</w:t>
      </w:r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6C10">
        <w:rPr>
          <w:rFonts w:ascii="Times New Roman" w:eastAsia="Times New Roman" w:hAnsi="Times New Roman"/>
          <w:sz w:val="28"/>
          <w:szCs w:val="28"/>
          <w:lang w:eastAsia="ru-RU"/>
        </w:rPr>
        <w:t>от 27.08.2016 № 100</w:t>
      </w:r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Правил  благоустройства  территории </w:t>
      </w:r>
      <w:r w:rsidRPr="006F6C10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7B3897" w:rsidRPr="006F6C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района»;</w:t>
      </w:r>
    </w:p>
    <w:p w:rsidR="007B3897" w:rsidRDefault="007B3897" w:rsidP="007B38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3.</w:t>
      </w:r>
      <w:bookmarkStart w:id="2" w:name="sub_106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A74602">
        <w:rPr>
          <w:rFonts w:ascii="Times New Roman" w:eastAsia="Times New Roman" w:hAnsi="Times New Roman"/>
          <w:b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Кореновского района в сети Интернет.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A74602" w:rsidRDefault="00A74602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2"/>
    <w:p w:rsidR="007B3897" w:rsidRDefault="007B3897" w:rsidP="007B3897">
      <w:pPr>
        <w:tabs>
          <w:tab w:val="left" w:pos="1097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7B3897" w:rsidRDefault="00A74602" w:rsidP="007B3897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7B3897" w:rsidRDefault="007B3897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C10" w:rsidRDefault="006F6C10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7B3897" w:rsidRDefault="007B3897" w:rsidP="007B3897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7B3897" w:rsidRDefault="007B3897" w:rsidP="007B3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решением Совета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</w:p>
    <w:p w:rsidR="007B3897" w:rsidRDefault="007B3897" w:rsidP="007B3897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7B3897" w:rsidRDefault="007B3897" w:rsidP="007B3897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7B3897" w:rsidRDefault="00C50717" w:rsidP="007B3897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6F6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2C6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DF2A79">
        <w:rPr>
          <w:rFonts w:ascii="Times New Roman" w:eastAsia="Times New Roman" w:hAnsi="Times New Roman"/>
          <w:sz w:val="28"/>
          <w:szCs w:val="28"/>
          <w:lang w:eastAsia="ru-RU"/>
        </w:rPr>
        <w:t>166</w:t>
      </w:r>
    </w:p>
    <w:p w:rsidR="007B3897" w:rsidRDefault="007B3897" w:rsidP="007B38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sub_2"/>
    </w:p>
    <w:bookmarkEnd w:id="3"/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благоустройства территории </w:t>
      </w:r>
      <w:r w:rsidR="00A74602">
        <w:rPr>
          <w:rFonts w:ascii="Times New Roman" w:eastAsia="Times New Roman" w:hAnsi="Times New Roman"/>
          <w:b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 поселения </w:t>
      </w:r>
      <w:bookmarkStart w:id="4" w:name="_GoBack"/>
      <w:bookmarkEnd w:id="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Правила благоустройства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Кореновского района (далее – Правила) разработаны на основании Федеральных законов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регионального развития Российской Федерации от 28 декабря 2010 года       № 820 «Об утверждении свода правил «СНиП 2.07.01-89* "Градостроительство. Планировка и застройка городских и сельских поселений»,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Приказа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регионального развития Российской Федерации от 27 декабря 2011 года №  613 «Об утверждении Методических рекомендаций по разработке норм и правил по благоустройству территорий муниципальных образований», Постановления государственного стандарта Российской Федерации от 11 октября 1993 года № 221 «Об утверждении государственного стандарта Российской Федерации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ГОСТ Р 50597-93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Краснодарского края от 23 июля 2003 года №  608-КЗ «Об административных правонарушениях»,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Краснодарского края от 23 апреля  2013 года № 2695-КЗ «Об охране зеленых насаждений в Краснодарском крае», уставом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 (включая освещение улиц, озеленение территорий, установку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Кореновского района независимо от организационно-правовых форм и форм собственности, а также граждан и лиц без гражданства, проживающих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настоящих Правилах применяются следующие термины и определения: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газон - участок земли с искусственно созданным травяным покровом;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территории;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зелёные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средообразующие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компенсационная стоимость зелёных насаждений - денежная оценка стоимости зелёных насаждений, устанавливаемая для учёта их ценности в целях осуществления компенсационного озеленения;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компенсационное озеленение - деятельность администрации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по созданию зелёных насаждений взамен уничтоженных и их сохранению до полной приживаемости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используемая для накопления твёрдых коммунальных отходов, за исключением крупногабаритных отходов;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контейнерная площадка - место размещения контейнеров для сбора (накопления) твёрдых коммунальных отходов и бункеров для сбора крупногабаритных отходов;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временного хранения отходов - место, расположенное вблизи источников образования отходов и устроенное в соответствии с СанПиН 42-128-4690-88 «Санитарные правила содержания территории населенных мест», утверждёнными Министерством здравоохранения СССР 05.08.88 №4690-88, предназначенное для накопления и хранения отходов в определенных количествах и на установленные сроки;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мусоровоз - специализированное автотранспортное средство, используемое для транспортирования твёрдых коммунальных отходов;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 озеленения - озеленённая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Правилами землепользования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застройки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зелёных насаждений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повреждение зелёных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порубочный билет - разрешительный документ, выданный администрацией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потребитель - собственник твёрдых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твёрдыми коммунальными отходами;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 отходов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зелёных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зелёных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твёрдые коммунальные отходы - отходы хозяйственной деятельности населения (приготовление пищи, уборка и текущий ремонт квартир и другое), включая отходы отопительных устройств местного отопления, крупногабаритные предметы домашнего обихода, упаковку,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смёт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дворовых территорий, отходы ухода за зелёными насаждениями,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уничтожение зелёных насаждений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Действие настоящих Правил распространяется на отношения в части охраны зелёных насаждений, расположенных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уходных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в отдельный перечень древесных пород, требующих особой охраны.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15.12.1999 № 153.</w:t>
      </w:r>
    </w:p>
    <w:p w:rsidR="007B3897" w:rsidRDefault="007B3897" w:rsidP="007B389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Элементы благоустройства территории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Озеленение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 Озелененные территории подразделяются на группы.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тропиночной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№ 153.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Содержание зеленых насаждений.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2.2.2. Предприятия, организации, учреждения любых форм собственности обязаны при составлении проектов застройки, прокладки дорог, тротуаров  и других сооружений заносить на генеральные планы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точную съемку имеющихся на участке деревьев и кустарников, а при их отсутствии делать об этом пояснение в плане.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2.2.4. Посадка деревьев и кустарников, посев трав и цветов производится: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2.2.5. Работы по содержанию зеленых насаждений осуществляются: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 в пределах бюджетных ассигнований и доведенных лимитов бюджетных обязательств;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 в пределах бюджетных ассигнований и доведенных лимитов бюджетных обязательств;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многоквартирных домов.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кронирование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поднятие и укладка металлических решеток на лунках деревьев; прочистка и промывка газонного борта;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уходу за цветочными вазами.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2.2.11. В случае необходимости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уходных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Охрана зеленых насаждений.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 На озелененных территориях запрещается: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лежать на газонах и в молодых лесных посадках;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вырубать деревья и кустарники;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разбивать палатки и разводить костры;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портить скульптуры, скамейки, ограды;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ездить на велосипедах, мотоциклах, лошадях, тракторах и автомашинах;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парковать автотранспортные средства на клумбах, цветниках, газонах;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пасти скот;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сжигать листву и мусор;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Оформление порубочного билета.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и административным регламентом предоставления администрацией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 муниципальной услуги «Выдача порубочного билета на территории муниципального образования», утверждаемыми администрацией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2.4.2. 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2.4.3. Категория деревьев, подлежащих санитарной вырубке, определяется в соответствии с приложением № 1 к настоящим Правилам..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Компенсационное озеленение.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2.5.1. Компенсационное озеленение производится администрацией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2.5.6. Параметры посадочного материала должны быть не менее: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кустарников высота - 0,3 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Учет зеленых насаждений.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2.6.1. Учет зеленых насаждений ведется в целях: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осуществления контроля за состоянием и использованием зеленых насаждений;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своевременного выявления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опасных деревьев, сухостойных деревьев и кустарников, принятия решений об их вырубке;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 ущерба, нанесенного зеленым насаждениям;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2.6.2. Учет зеленых насаждений ведется на основании данных инвентаризации.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2.6.3. Инвентаризация зеленых насаждений проводится не реже чем один раз в 10 лет.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2.6.6. Администрация поселения ведет реестр зеленых насаждений, который содержит информацию: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их площади;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целевом назначении таких земельных участков;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2.6.7. Форма и порядок ведения реестра зелёных насаждений утверждаются администрацией </w:t>
      </w:r>
      <w:r w:rsidR="00A74602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2.6.8. Реестр зеленых насаждений размещается на официальном интернет-портале администрации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Виды покрытий.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твердые (капитальные) - монолитные или сборные, выполняемые из асфальтобетона,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цементобетона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природного камня и т.п. материалов;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грунтовые;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комбинированные, представляющие сочетания покрытий, указанных выше 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2.7.2.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2.7.3.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Сопряжения поверхностей.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2.8.1.1. Бортовые камни.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2.8.1.2. Ступени, лестницы, пандусы.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повороте пандуса или его протяженности более 9 м не реже чем через каждые 9 м необходимо предусматривать горизонтальные площадки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размером 1,5 x 1,5 м. На горизонтальных площадках по окончании спуска необходимо предусматривать дренажные устройства.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устройстве пандуса высота бордюрного камня не должна превышать 1,5 см.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Ограждения.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2.9.1.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Ростехрегулирования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декабря 2004 года        №  120-ст и ГОСТ 26804-86 Ограждения дорожные металлические барьерного типа. Технические условия, утвержденного Постановлением Госстроя СССР от 19 декабря 1985 года № 242.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Малые архитектурные формы.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 мебель, коммунально-бытовое и техническое оборудование.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2.10.1. Водные устройства.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фонтанов осуществляется на основании индивидуальных проектов.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2.10.2. Уличная мебель.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2.10.3. Уличное коммунально-бытовое и техническое оборудование.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дождеприемных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 Игровое и спортивное оборудование.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2.11.1. Игровое оборудование.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 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2.11.2. Спортивное оборудование.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 Освещение территории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2.12.1. На территории поселения осветительные установки должны обеспечивать: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       № 783 «СП 52.13330.2011. Свод правил. Естественное и искусственное освещение. Актуализированная редакция СНиП 23-05-95»);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экономичность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 Рекламные конструкции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2.13.1. На территории поселения установка и эксплуатация рекламных конструкций без разрешения  на их установку и эксплуатацию запрещена.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2.13.2. Рекламные конструкции должны содержаться в надлежащем состоянии.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Требования к содержанию и внешнему виду зданий и сооружений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домовых знаков, защитных сеток и т.п.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 w:rsidR="00A74602">
        <w:rPr>
          <w:rFonts w:ascii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3.1.3.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 </w:t>
      </w:r>
      <w:r w:rsidR="00A74602">
        <w:rPr>
          <w:rFonts w:ascii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3.1.4. В паспорте отображается следующая информация: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собственниках и границах земельных участков, формирующих территорию объекта благоустройства;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ситуационный план;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элементы благоустройства,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текущем состоянии;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планируемых мероприятиях по благоустройству территорий.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3.1.5. Обоснование предложений по определению конкретных зон, территорий, объектов для проведения работ по благоустройству, установления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3.1.6.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 w:rsidR="00A74602">
        <w:rPr>
          <w:rFonts w:ascii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Кореновского района,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3.1.7.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3.1.8.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3.1.9. Основные решения: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3.1.11.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3.1.13.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используется специальный раздел сайта администрации </w:t>
      </w:r>
      <w:r w:rsidR="00327819">
        <w:rPr>
          <w:rFonts w:ascii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Кореновского района  в информационно-телекоммуникационной сети «Интернет»,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3.1.14.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3.1.15. Формы общественного участия.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консультации по предполагаемым типам озеленения;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проекта, либо наблюдательного совета проекта для проведения регулярной оценки эксплуатации территории).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3.1.16. При реализации проектов общественность информируется о планирующихся изменениях и возможности участия в этом процессе.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3.1.17. Информирование осуществляется путем: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создания специального раздела на сайте администрации </w:t>
      </w:r>
      <w:r w:rsidR="00327819">
        <w:rPr>
          <w:rFonts w:ascii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Кореновского района,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по телефону;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профессиональных сообществ;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3.1.18. Механизмы общественного участия: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года № 212 -ФЗ «Об основах общественного контроля в Российской Федерации»;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воркшопов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итогам встреч, проектных семинаров,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воркшопов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предпроектного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исследования, а также сам проект;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администрацией </w:t>
      </w:r>
      <w:r w:rsidR="00327819">
        <w:rPr>
          <w:rFonts w:ascii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Кореновского района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327819">
        <w:rPr>
          <w:rFonts w:ascii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Кореновского района и (или) на интерактивный портал в сети Интернет;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3.1.19.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создании и предоставлении разного рода услуг и сервисов для посетителей общественных пространств;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5) в организации мероприятий, обеспечивающих приток посетителей на создаваемые общественные пространства;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3.1.20.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7B3897" w:rsidRDefault="007B3897" w:rsidP="007B3897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3.1.21. 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На зданиях и сооружениях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 фасадах здания при условии сохранения отделки фасада.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обеспечения поверхностного водоотвода от зданий и сооружений по их периметру производится устройство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надежной гидроизоляцией. Уклон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принимать не менее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промилле в сторону от здания. Ширину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При организации стока воды со скатных крыш через водосточные трубы рекомендуется: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Организация уборки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Организацию уборки территорий общего пользования, в том числе земельных участков, занятых площадями, улицами, проездами, автомобильными дорогами,  пляжами, другими объектами, осуществляет 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дождеприемных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колодцев, а также очистка территории водозаборных колонок, устройство стока воды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колонок в радиусе </w:t>
      </w:r>
      <w:smartTag w:uri="urn:schemas-microsoft-com:office:smarttags" w:element="metricconverter">
        <w:smartTagPr>
          <w:attr w:name="ProductID" w:val="1,5 метра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1,5 метра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производятся организациями, осуществляющими их эксплуатацию.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  настоящих Правил.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Уборка территории поселения в весенне-летний период: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4.5.1. Уборка территории поселения в весенне-летний период предусматривает  очистку территорий от мусора, грязи, упавшей листвы.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4.5.2. Покос сорной и карантинной растительности производится при ее высоте более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 см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Уборка территории поселения в осенне-зимний период: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противогололедной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смесью.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4.6.2. Уборка, вывоз снега и льда производятся в первую очередь с центральных улиц и дорог.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4.6.4. Наледи на проезжей части дорог, проездов, возникшие в результате аварий на водопроводных, 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4.6.5. Посыпка проезжей части дороги песчано-соляной смесью производится при появлении гололеда. Все тротуары, лотки проезжей части улиц, 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В целях обеспечения чистоты и порядка на территории поселения запрещается: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колодцы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дождеприемные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решетки ливневой канализации для слива жидких бытовых отходов, горюче-смазочных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материалов, а также пользоваться поглощающими ямами, закапывать отходы в землю и засыпать колодцы бытовым мусором;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сбрасывать в реку, водоемы, балки, овраги отходы любого типа;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стихийные свалки;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поселенческих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вывозить твердые бытовые отходы и грунт в места, не предназначенные для этих целей;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сметать мусор на проезжую часть улиц и в колодцы ливневой канализации;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дождеприемных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решеток;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складировать в урны для мусора отходы из жилищ и организаций;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установку препятствующих обзору (сплошных) ограждений территорий многоквартирных домов;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рисунки, размещать на них рекламные, информационные и агитационные материалы;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совершать иные действия, влекущие нарушение действующих санитарных правил и норм.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Порядок сбора отходов на территории поселения: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4.8.1.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20 января 2017 года № 48 «Об утверждении Порядка сбора (в том числе раздельного) твёрдых коммунальных отходов на территории Краснодарского края», постановление главы администрации (губернатора) Краснодарского края от 17 марта 2017 года № 175 «Об утверждении нормативов накопления твёрдых коммунальных отходов в Краснодарском крае».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4.8.2. На территории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 Сбор и вывоз жидких отходов.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4.9.1. В связи с  отсутствием канализационной сети отвод бытовых стоков допускается в водонепроницаемый выгреб.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 Порядок обезвреживания отходов.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4.10.1.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демеркуризации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организацию, имеющую лицензию на соответствующий вид деятельности.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4.10.2. 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 декабря 1995 года № 13-7-2/469.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4.10.3. Сбор отходов лечебно-профилактических учреждений с классами опасности А, Б, В, Г, Д должен осуществляться в соответствии с санитарными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нормами СанПиН 2.1.7.2790-10 «Санитарно-эпидемиологические требования к обращению с медицинскими отходами», утвержденными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Главного государственного санитарного врача Российской Федерации от 09 декабря 2010 года № 163.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 Уборка и санитарное содержание пляжей: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4.14.2. Территория пляжа оборудуется урнами, общественными туалетами.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4.14.5. Перед началом эксплуатации пляжа заключаются договоры на вывоз твердых коммунальных отходов.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4.19.Администрация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4.20. Общественные туалеты.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Содержание животных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Определяет места на территории поселения, в которых допускается или запрещается выгул домашних животных.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Оказывает содействие ветеринарным службам по организации работы по вакцинированию домашних животных.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Определяет выпас сельскохозяйственных животных.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6. Содержание объектов благоустройства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Содержание территорий общего пользования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объектов благоустройства, находящихся в муниципальной собственности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дождевых колодцев, озёр, осуществляет 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Кореновского района, заключающая в этих целях договоры с соответствующими организациями в пределах предусмотренных на эти цели в местном бюджете (бюджете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района) средств и в порядке, определённом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7B3897" w:rsidRDefault="007B3897" w:rsidP="007B38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Физические лица, в том числе индивидуальные предприниматели, юридические лица всех организационно-правовых форм обязаны: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прилегающих территорий.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6.2.2.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по мере их заполнения, но не реже одного раза в день.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 осуществляющими торговую деятельность.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6.3.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 в соответствии с установленными полномочиями и в пределах средств, предусмотренных на эти цели в местном бюджете (бюджете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района).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6.4. Организацию работы по благоустройству и содержанию территорий осуществляют: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заключён договор на управление/эксплуатацию многоквартирным домом. При отсутствии такого договора - собственники помещений в доме;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</w:t>
      </w:r>
      <w:r w:rsidR="004C37C0"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ндивидуальных предпринимателей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соответствующие физические и юридические лица, либо индивидуальные предприниматели;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территориях гаражно-строительных кооперативов - соответствующие кооперативы;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территориях садоводческих объединений граждан - соответствующие объединения;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тротуарах: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примыкающих к проезжей части улиц или к проездам, отделённым от проезжей части газоном шириной не более трёх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на мостах, путепроводах, эстакадах, а также технических тротуаров, примыкающих к инженерным сооружениям и лестничным сходам,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организации, на балансе которых находятся данные инженерные сооружения, либо организации, эксплуатирующие их;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прилотковую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зону  - организации, отвечающие за уборку и содержание проезжей части;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въездах и выездах с АЗС, АГЗС - владельцы указанных объектов;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 - организации, эксплуатирующие данные сооружения;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земельных участках, не предоставленных в установленном порядке юридическим, физическим лицам и индивидуальным предпринимателям (либо в отношение которых не заключался договор на содержание и благоустройство прилегающих территорий), - администрация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  в соответствии с установленными полномочиями.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домах, зданиях собственниками и администрацией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 организуется установка указателей с названиями улиц и номерами домов.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 Запрещается: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администрацией поселения;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самовольно подключаться к инженерным сетям и сооружениям;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снимать, менять люки и решетки колодцев;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повреждать  и самовольно демонтировать лавочки, скамейки, декоративные ограждения;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купаться в фонтанах и декоративных водоемах, купать домашних животных.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занимать территорию общего пользования.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6.5.1.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6.5.2. При строительстве, реконструкции объектов капитального строительства, находящихся на территории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 застройщики обязаны: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содержать в чистоте территорию строительной площадки, а также прилегающую к ней территорию и подъезды, не допускать выноса грунта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грязи колёсами механических транспортных средств со строительной площадки;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закапывания в грунт или сжигания мусора и отходов;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 перемещение отходов строительства,  сноса и грунтов на основании разрешения на перемещение отходов строительства, сноса зданий и сооружений, в том числе грунтов, выданных администрацией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согласовывать с администрацией </w:t>
      </w:r>
      <w:r w:rsidR="00327819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проведение работ в технических и охранных зонах;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работ на проезжей части на территории </w:t>
      </w:r>
      <w:r w:rsidR="00327819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согласовывать с администрацией </w:t>
      </w:r>
      <w:r w:rsidR="00327819">
        <w:rPr>
          <w:rFonts w:ascii="Times New Roman" w:hAnsi="Times New Roman"/>
          <w:sz w:val="28"/>
          <w:szCs w:val="28"/>
        </w:rPr>
        <w:t>Бураковского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схемы движения транспорта и пешеходов на период проведения работ на проезжей части.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 Строительство, установка и содержание малых архитектурных форм.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6.6.3.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6.7. Ремонт и содержание зданий и сооружений.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6.7.2.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Кореновского района  и настоящими Правилами.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7. Сохранность дорог, тротуаров, площадей и других элементов благоустройства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других элементов благоустройства должны быть восстановлены силами и средствами организаций, производящих эти работы.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При строительстве, ремонте и реконструкции дорог, площадей, скверов застройщики обязаны: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главой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ограждение объекта строительства;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содержание ограждений строительной площадки в удовлетворительном техническом состоянии (ограждения должны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очищены от грязи, без проемов, поврежденных участков, отклонений от вертикали, посторонних наклеек, объявлений и надписей);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освещение строительной площадки;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содержать в чистоте территорию строительной площадки, а также не допускать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оборудовать выезды со строительной площадки пунктами мойки (очистки) колес автотранспорта;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биотуалет или стационарный туалет с подключением к сетям канализации;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закапывание в грунт или сжигание мусора и отходов;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7.11.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7.12.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Проведение работ при строительстве, ремонте, реконструкции коммуникаций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 в соответствии с административным регламентом предоставления администрацией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 муниципальной услуги «Выдача разрешения (ордера) на проведение земляных работ на территории общего пользования», утверждённым администрацией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Не допускается прокладка напорных коммуникаций под проезжей частью магистральных улиц.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8.6. Прокладку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 разрешение на производство работ, в сроки, согласованные с администрацией поселения.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8.8. До начала производства работ по разрытию необходимо: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8.8.1. Установить дорожные знаки в соответствии с согласованной схемой;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Ограждение рекомендуется выполнять сплошным и надежным, предотвращающим попадание посторонних на стройплощадку.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8.8.3. Оформлять при необходимости в установленном порядке и осуществлять снос или пересадку зеленых насаждений. В случае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8.10. В разрешении необходимо устанавливать сроки и условия производства работ.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топооснове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9. Контроль за выполнением Правил</w:t>
      </w:r>
    </w:p>
    <w:p w:rsidR="007B3897" w:rsidRDefault="007B3897" w:rsidP="007B38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Администрация поселения осуществляет контроль в пределах своей компетенции за соблюдением физическими и юридическими лицами настоящих Правил.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Администрация поселения вправе издавать муниципальные правовые акты в развитие положений настоящих Правил.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 Ответственность за нарушение настоящих Правил.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11. Требования к сезонным объектам общественного питания, объектам торговли и объектам сферы услуг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Требования к размещению сезонных объектов общественного питания, объектов торговли и объектов сферы услуг.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11.1.2. Не допускается размещение сезонных объектов в арках зданий, на газонах, цветниках, детских и спортивных площадках, площадках для отдыха,  на остановочных пунктах  пассажирского транспорта.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11.1.3. При необходимости выполнения ремонтных, профилактических и других работ на инженерных сетях, коммуникациях и иных объектах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инфраструктуры, во время выполнения которых невозможно функционирование сезонного объекта, администрация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проведения аварийных работ уведомление производится незамедлительно.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поселения период времени.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Требования к обустройству сезонных объектов общественного питания, объектов торговли и объектов сферы услуг.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11.2.1. При обустройстве сезонных объектов могут использоваться как элементы оборудования, так и сборно-разборные (легковозводимые) конструкции. 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11.2.4. Обустройство сезонных объектов сборно-разборными (легковозводимыми) конструкциями не допускается в следующих случаях: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нарушается существующая система водоотведения (водослива) здания.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11.2.6.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11.2.7.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11.2.8. Декоративные панели не должны превышать в высоту 90 сантиметров от нулевой отметки пола (настила).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11.2.9. При оборудовании сезонных объектов не допускается: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кирпича, строительных блоков и плит;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заглубление конструкций, оборудования и ограждения;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металлочерепицы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металла, а также рубероида, асбестоцементных плит.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Требования к эксплуатации сезонных объектов общественного питания, объектов торговли и объектов сферы услуг.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туалета для посетителей и условий по обеспечению правил личной гигиены;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урн или емкостей для сбора мусора со съемными вкладышами.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7B3897" w:rsidRDefault="007B3897" w:rsidP="007B3897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lef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7B3897" w:rsidRDefault="00327819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7B3897" w:rsidRDefault="007B3897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17" w:rsidRDefault="00C5071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17" w:rsidRDefault="00C5071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17" w:rsidRDefault="00C5071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17" w:rsidRDefault="00C5071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17" w:rsidRDefault="00C5071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7B3897" w:rsidTr="007B3897">
        <w:tc>
          <w:tcPr>
            <w:tcW w:w="2500" w:type="pct"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Правилам</w:t>
            </w: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благоустройства территории </w:t>
            </w:r>
          </w:p>
          <w:p w:rsidR="007B3897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Бураковского</w:t>
            </w:r>
            <w:r w:rsidR="007B3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 поселения Кореновского района</w:t>
            </w: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ПРИЗНАКИ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категорий деревьев, подлежащих санитарной вырубке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6C10" w:rsidRDefault="006F6C10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8"/>
        <w:gridCol w:w="273"/>
        <w:gridCol w:w="3535"/>
        <w:gridCol w:w="3927"/>
      </w:tblGrid>
      <w:tr w:rsidR="007B3897" w:rsidTr="007B3897">
        <w:trPr>
          <w:trHeight w:val="1200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санитарной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вырубке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категории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деревьев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Основные признаки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Дополнительные признаки    </w:t>
            </w:r>
          </w:p>
        </w:tc>
      </w:tr>
      <w:tr w:rsidR="007B3897" w:rsidTr="007B3897">
        <w:tc>
          <w:tcPr>
            <w:tcW w:w="9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Хвойные породы                              </w:t>
            </w:r>
          </w:p>
        </w:tc>
      </w:tr>
      <w:tr w:rsidR="007B3897" w:rsidTr="007B3897">
        <w:trPr>
          <w:trHeight w:val="10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Усыхающие 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Хвоя серая, желтоватая или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желто-зеленая,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прирост текущего года уменьшен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отсутствует 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 признаки заселения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дерева вредителями (смоляные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стволовые воронки, буровая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мука, насекомые на коре, под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корой и в древесине)           </w:t>
            </w:r>
          </w:p>
        </w:tc>
      </w:tr>
      <w:tr w:rsidR="007B3897" w:rsidTr="007B3897">
        <w:trPr>
          <w:trHeight w:val="8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Сухостой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текущего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года      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Хвоя серая, желтая или бурая,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мелкие веточки в кроне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охраняются, кора может быть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частично опавшей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 наличие на коре дерева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отверстий насекомых   </w:t>
            </w:r>
          </w:p>
        </w:tc>
      </w:tr>
      <w:tr w:rsidR="007B3897" w:rsidTr="007B3897">
        <w:trPr>
          <w:trHeight w:val="10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Сухостой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прошлых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лет       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Хвоя осыпалась или сохранилась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лишь частично, мелкие веточки,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правило, обломились, кора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легко отслаивается или опала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стволе и в ветвях имеются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отверстия насекомых,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 корой обильная буровая мука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грибница дереворазрушающих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грибов                         </w:t>
            </w:r>
          </w:p>
        </w:tc>
      </w:tr>
      <w:tr w:rsidR="007B3897" w:rsidTr="007B3897">
        <w:tc>
          <w:tcPr>
            <w:tcW w:w="91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Лиственные породы                            </w:t>
            </w:r>
          </w:p>
        </w:tc>
      </w:tr>
      <w:tr w:rsidR="007B3897" w:rsidTr="007B3897">
        <w:trPr>
          <w:trHeight w:val="1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Усыхающие 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Листва мельче, светлее или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желтее обычной,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преждевременно опала, в кроне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75% и более сухих ветвей, на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стволе могут быть водяные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побеги; вязы, пораженные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графиозом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50% и более сухих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ветвей в кроне  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стволе и в ветвях возможны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признаки заселения дерева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стволовыми вредителями (входные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отверстия, насечки,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буровая мука и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опилки, насекомые на коре, под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корой и в древесине)           </w:t>
            </w:r>
          </w:p>
        </w:tc>
      </w:tr>
      <w:tr w:rsidR="007B3897" w:rsidTr="007B3897">
        <w:trPr>
          <w:trHeight w:val="8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Сухостой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текущего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года      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Листва преждевременно опала,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мелкие веточки в кроне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сохраняются, кора может быть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частично опавшей      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стволе, ветвях и корневых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лапах часто встречаются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признаки заселения стволовыми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вредителями и поражения грибами</w:t>
            </w:r>
          </w:p>
        </w:tc>
      </w:tr>
      <w:tr w:rsidR="007B3897" w:rsidTr="00327819">
        <w:trPr>
          <w:trHeight w:val="10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Сухостой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прошлых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лет       </w:t>
            </w: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Листва и часть ветвей опала,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мелкие веточки, как правило,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обломились, кора легко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отслаивается или опала        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стволе и в ветвях имеются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отверстия насекомых,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 корой обильная буровая мука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грибница дереворазрушающих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грибов                         </w:t>
            </w:r>
          </w:p>
        </w:tc>
      </w:tr>
      <w:tr w:rsidR="00327819" w:rsidTr="007B3897">
        <w:trPr>
          <w:trHeight w:val="10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9" w:rsidRDefault="003278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9" w:rsidRDefault="003278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9" w:rsidRDefault="003278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819" w:rsidRDefault="00327819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7B3897" w:rsidRDefault="00327819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7B3897" w:rsidRDefault="007B3897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7B3897" w:rsidTr="007B3897">
        <w:tc>
          <w:tcPr>
            <w:tcW w:w="2500" w:type="pct"/>
          </w:tcPr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327819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819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819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819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C10" w:rsidRDefault="006F6C10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7819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717" w:rsidRDefault="00C5071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717" w:rsidRDefault="00C5071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Правилам</w:t>
            </w: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благоустройства территории </w:t>
            </w:r>
          </w:p>
          <w:p w:rsidR="007B3897" w:rsidRDefault="0032781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Бураковского</w:t>
            </w:r>
            <w:r w:rsidR="007B3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 поселения Кореновского района</w:t>
            </w:r>
          </w:p>
          <w:p w:rsidR="007B3897" w:rsidRDefault="007B3897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параметрам игрового оборудования и минимальным расстояниям безопасности отдельных частей  </w:t>
      </w:r>
    </w:p>
    <w:p w:rsidR="007B3897" w:rsidRDefault="007B3897" w:rsidP="007B38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6"/>
        <w:gridCol w:w="7378"/>
      </w:tblGrid>
      <w:tr w:rsidR="007B3897" w:rsidTr="007B3897">
        <w:trPr>
          <w:trHeight w:val="400"/>
          <w:tblHeader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Игровое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Требования                         </w:t>
            </w:r>
          </w:p>
        </w:tc>
      </w:tr>
      <w:tr w:rsidR="007B3897" w:rsidTr="007B3897">
        <w:trPr>
          <w:trHeight w:val="18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Качели      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от уровня земли до сиденья качелей в состоянии покоя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350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635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Допускается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более двух сидений в одной рамке качелей. В двойных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качелях не должны использоваться вместе сиденье для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маленьких детей (колыбель) и плоское сиденье для более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старших детей. Минимальное расстояния безопасности при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стороны от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2,0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вперед (назад) от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крайних точек качели в состоянии наклона                </w:t>
            </w:r>
          </w:p>
        </w:tc>
      </w:tr>
      <w:tr w:rsidR="007B3897" w:rsidTr="007B3897">
        <w:trPr>
          <w:trHeight w:val="18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Качалки     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от земли до сиденья в состоянии равновесия должна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750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Максимальный наклон сиденья при движении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назад и вперед - не более 20 градусов. Конструкция качалки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должна допускать попадание ног сидящего в ней ребенка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опорные части качалки, не должна иметь острых углов, радиус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Минимальное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расстояния безопасности при размещении должно составлять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1,0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стороны от боковых конструкций и не менее 1,5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 вперед от крайних точек качалки в состоянии наклона       </w:t>
            </w:r>
          </w:p>
        </w:tc>
      </w:tr>
      <w:tr w:rsidR="007B3897" w:rsidTr="007B3897">
        <w:trPr>
          <w:trHeight w:val="16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Карусели    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расстояние от уровня земли до нижней вращающейся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110 мм. Нижняя поверхность вращающейся платформы должна быть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гладкой. Максимальная высота от нижнего уровня карусели до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Минимальное расстояния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безопасности при 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вверх от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нижней вращающейся поверхности карусели                     </w:t>
            </w:r>
          </w:p>
        </w:tc>
      </w:tr>
      <w:tr w:rsidR="007B3897" w:rsidTr="007B3897">
        <w:trPr>
          <w:trHeight w:val="44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Горки       </w:t>
            </w: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7" w:rsidRDefault="007B38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к горке осуществляется через лестницу, лазательную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секцию или другие приспособления. Высота ската отдельно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2,5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 зависимости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950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длиной с уклоном до 5 градусов, но, как правило, ширина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площадки должна быть равна горизонтальной проекции участка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скольжения. На отдельно стоящей горке высота бокового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ограждения на стартовой площадке должна быть не  менее  0,15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 Угол наклона участка скольжения не должен превышать 60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градусов в любой точке. На конечном участке ската средний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наклон не должен превышать 10 градусов. Край ската горки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должен подгибаться по направлению к земле с радиусом не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углом загиба не менее 100 градусов. Расстояние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Высота ограждающего бортика на конечном участке при длине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длине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350 мм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Горка-тоннель должна иметь минимальную высоту и ширину 750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мм. Минимальное расстояния безопасности при размещении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должно составлять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вперед от нижнего края ската горки                          </w:t>
            </w:r>
          </w:p>
        </w:tc>
      </w:tr>
    </w:tbl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7B3897" w:rsidRDefault="00327819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Бураковского 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7B38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7B3897" w:rsidRDefault="007B3897" w:rsidP="007B38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327819">
        <w:rPr>
          <w:rFonts w:ascii="Times New Roman" w:eastAsia="Times New Roman" w:hAnsi="Times New Roman"/>
          <w:sz w:val="28"/>
          <w:szCs w:val="28"/>
          <w:lang w:eastAsia="ru-RU"/>
        </w:rPr>
        <w:t>Л.И.Орлецкая</w:t>
      </w: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897" w:rsidRDefault="007B3897" w:rsidP="007B3897"/>
    <w:p w:rsidR="00143751" w:rsidRDefault="00143751"/>
    <w:sectPr w:rsidR="00143751" w:rsidSect="00BD67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11F"/>
    <w:multiLevelType w:val="hybridMultilevel"/>
    <w:tmpl w:val="DC0690DE"/>
    <w:lvl w:ilvl="0" w:tplc="7CF2D83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AD"/>
    <w:rsid w:val="00143751"/>
    <w:rsid w:val="00327819"/>
    <w:rsid w:val="004C37C0"/>
    <w:rsid w:val="006A12C6"/>
    <w:rsid w:val="006F6C10"/>
    <w:rsid w:val="007014AD"/>
    <w:rsid w:val="007B3897"/>
    <w:rsid w:val="00825AE8"/>
    <w:rsid w:val="00A74602"/>
    <w:rsid w:val="00BD67C1"/>
    <w:rsid w:val="00C50717"/>
    <w:rsid w:val="00DF2A79"/>
    <w:rsid w:val="00E26555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D6D5-EC46-453F-BA31-AE97F29B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C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10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B6B7C749B3012FA8A9F4F2DCC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BBD39352E8C5FB8A9897FEFED1EA0AD6979789F3E4FF082C6432FC0C4K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0BBD39352E8C5FB8A9897FEFED1EA0AD6879769A3A4FF082C6432FC0C4K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BBD39352E8C5FB8A9897FEFED1EA0AD6B7C799E334FF082C6432FC04F4082AFAD3A1FB1E5D241CE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17842</Words>
  <Characters>101705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cp:lastPrinted>2017-11-16T12:38:00Z</cp:lastPrinted>
  <dcterms:created xsi:type="dcterms:W3CDTF">2017-09-20T12:38:00Z</dcterms:created>
  <dcterms:modified xsi:type="dcterms:W3CDTF">2017-11-16T12:38:00Z</dcterms:modified>
</cp:coreProperties>
</file>