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0B" w:rsidRDefault="0086640B" w:rsidP="0086640B">
      <w:pPr>
        <w:ind w:firstLine="0"/>
        <w:jc w:val="center"/>
        <w:rPr>
          <w:noProof/>
        </w:rPr>
      </w:pPr>
    </w:p>
    <w:p w:rsidR="00683C83" w:rsidRDefault="00683C83" w:rsidP="0086640B">
      <w:pPr>
        <w:ind w:firstLine="0"/>
        <w:jc w:val="center"/>
      </w:pPr>
    </w:p>
    <w:p w:rsidR="0086640B" w:rsidRDefault="00683C83" w:rsidP="0086640B">
      <w:pPr>
        <w:ind w:firstLine="0"/>
        <w:jc w:val="center"/>
      </w:pPr>
      <w:r>
        <w:rPr>
          <w:noProof/>
        </w:rPr>
        <w:drawing>
          <wp:inline distT="0" distB="0" distL="0" distR="0" wp14:anchorId="3A5EE5B8" wp14:editId="339CE05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C83" w:rsidRDefault="00683C83" w:rsidP="0086640B">
      <w:pPr>
        <w:pStyle w:val="2"/>
        <w:tabs>
          <w:tab w:val="left" w:pos="0"/>
        </w:tabs>
        <w:ind w:firstLine="0"/>
      </w:pPr>
    </w:p>
    <w:p w:rsidR="0086640B" w:rsidRDefault="00683C83" w:rsidP="0086640B">
      <w:pPr>
        <w:pStyle w:val="2"/>
        <w:tabs>
          <w:tab w:val="left" w:pos="0"/>
        </w:tabs>
        <w:ind w:firstLine="0"/>
      </w:pPr>
      <w:r>
        <w:t>АДМИНИСТРАЦИЯ БУРА</w:t>
      </w:r>
      <w:r w:rsidR="0086640B">
        <w:t xml:space="preserve">КОВСКОГО СЕЛЬСКОГО ПОСЕЛЕНИЯ </w:t>
      </w:r>
    </w:p>
    <w:p w:rsidR="0086640B" w:rsidRDefault="0086640B" w:rsidP="0086640B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86640B" w:rsidRDefault="0086640B" w:rsidP="0086640B">
      <w:pPr>
        <w:ind w:firstLine="0"/>
        <w:jc w:val="center"/>
      </w:pPr>
    </w:p>
    <w:p w:rsidR="0086640B" w:rsidRDefault="0086640B" w:rsidP="0086640B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6640B" w:rsidRDefault="0086640B" w:rsidP="0086640B">
      <w:pPr>
        <w:jc w:val="center"/>
        <w:rPr>
          <w:b/>
          <w:sz w:val="24"/>
        </w:rPr>
      </w:pPr>
    </w:p>
    <w:p w:rsidR="0086640B" w:rsidRDefault="00683C83" w:rsidP="0086640B">
      <w:pPr>
        <w:ind w:firstLine="0"/>
        <w:rPr>
          <w:sz w:val="24"/>
        </w:rPr>
      </w:pPr>
      <w:r>
        <w:rPr>
          <w:b/>
          <w:sz w:val="24"/>
        </w:rPr>
        <w:t>от  02.09</w:t>
      </w:r>
      <w:r w:rsidR="0086640B">
        <w:rPr>
          <w:b/>
          <w:sz w:val="24"/>
        </w:rPr>
        <w:t>.2019</w:t>
      </w:r>
      <w:r w:rsidR="0086640B">
        <w:rPr>
          <w:sz w:val="24"/>
        </w:rPr>
        <w:tab/>
      </w:r>
      <w:r w:rsidR="0086640B">
        <w:rPr>
          <w:sz w:val="24"/>
        </w:rPr>
        <w:tab/>
      </w:r>
      <w:r w:rsidR="0086640B">
        <w:rPr>
          <w:sz w:val="24"/>
        </w:rPr>
        <w:tab/>
      </w:r>
      <w:r w:rsidR="0086640B">
        <w:rPr>
          <w:sz w:val="24"/>
        </w:rPr>
        <w:tab/>
      </w:r>
      <w:r w:rsidR="0086640B">
        <w:rPr>
          <w:sz w:val="24"/>
        </w:rPr>
        <w:tab/>
      </w:r>
      <w:r w:rsidR="0086640B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№ 53</w:t>
      </w:r>
      <w:r w:rsidR="0086640B">
        <w:rPr>
          <w:b/>
          <w:sz w:val="24"/>
        </w:rPr>
        <w:t xml:space="preserve">-р </w:t>
      </w:r>
    </w:p>
    <w:p w:rsidR="0086640B" w:rsidRDefault="00683C83" w:rsidP="0086640B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86640B" w:rsidRDefault="0086640B" w:rsidP="0086640B">
      <w:pPr>
        <w:pStyle w:val="1"/>
        <w:rPr>
          <w:sz w:val="28"/>
        </w:rPr>
      </w:pPr>
    </w:p>
    <w:p w:rsidR="0086640B" w:rsidRDefault="0086640B" w:rsidP="0086640B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</w:rPr>
        <w:t>Об утверждении положения</w:t>
      </w:r>
      <w:r>
        <w:rPr>
          <w:b/>
          <w:bCs/>
          <w:color w:val="000000"/>
          <w:kern w:val="3"/>
        </w:rPr>
        <w:br/>
        <w:t xml:space="preserve">по работе с инцидентами информационной безопасности в администрации </w:t>
      </w:r>
      <w:r w:rsidR="00683C83">
        <w:rPr>
          <w:b/>
          <w:bCs/>
          <w:color w:val="000000"/>
          <w:kern w:val="3"/>
        </w:rPr>
        <w:t>Бураковского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</w:t>
      </w:r>
    </w:p>
    <w:p w:rsidR="0086640B" w:rsidRDefault="0086640B" w:rsidP="0086640B">
      <w:pPr>
        <w:suppressAutoHyphens/>
        <w:ind w:firstLine="426"/>
        <w:jc w:val="center"/>
        <w:rPr>
          <w:b/>
          <w:lang w:eastAsia="ar-SA"/>
        </w:rPr>
      </w:pPr>
    </w:p>
    <w:p w:rsidR="0086640B" w:rsidRDefault="0086640B" w:rsidP="0086640B">
      <w:pPr>
        <w:pStyle w:val="Standard"/>
        <w:spacing w:line="319" w:lineRule="exact"/>
        <w:ind w:left="30" w:right="30" w:firstLine="679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86640B" w:rsidRDefault="00683C83" w:rsidP="00683C83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 xml:space="preserve"> 1.</w:t>
      </w:r>
      <w:r w:rsidR="0086640B">
        <w:rPr>
          <w:color w:val="000000"/>
        </w:rPr>
        <w:t xml:space="preserve">Утвердить положение по работе с инцидентами информационной безопасности в администрации </w:t>
      </w:r>
      <w:r>
        <w:rPr>
          <w:color w:val="000000"/>
        </w:rPr>
        <w:t>Бураковского</w:t>
      </w:r>
      <w:r w:rsidR="0086640B">
        <w:rPr>
          <w:color w:val="000000"/>
        </w:rPr>
        <w:t xml:space="preserve"> сельского поселения Кореновского района </w:t>
      </w:r>
      <w:r w:rsidR="0086640B">
        <w:rPr>
          <w:color w:val="000000"/>
          <w:kern w:val="3"/>
        </w:rPr>
        <w:t>(прилагается).</w:t>
      </w:r>
    </w:p>
    <w:p w:rsidR="0086640B" w:rsidRDefault="00683C83" w:rsidP="00683C83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>2.</w:t>
      </w:r>
      <w:r w:rsidR="0086640B">
        <w:rPr>
          <w:color w:val="000000"/>
          <w:kern w:val="3"/>
        </w:rPr>
        <w:t xml:space="preserve">Общему отделу администрации </w:t>
      </w:r>
      <w:r>
        <w:rPr>
          <w:color w:val="000000"/>
          <w:kern w:val="3"/>
        </w:rPr>
        <w:t>Бураковского</w:t>
      </w:r>
      <w:r w:rsidR="0086640B"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>
        <w:rPr>
          <w:color w:val="000000"/>
          <w:kern w:val="3"/>
        </w:rPr>
        <w:t>Абрамкина</w:t>
      </w:r>
      <w:proofErr w:type="spellEnd"/>
      <w:r w:rsidR="0086640B"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>
        <w:rPr>
          <w:color w:val="000000"/>
          <w:kern w:val="3"/>
        </w:rPr>
        <w:t>Бураковского</w:t>
      </w:r>
      <w:r w:rsidR="0086640B"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6640B" w:rsidRDefault="0086640B" w:rsidP="00683C83">
      <w:pPr>
        <w:widowControl w:val="0"/>
        <w:suppressAutoHyphens/>
        <w:autoSpaceDN w:val="0"/>
        <w:spacing w:line="319" w:lineRule="exact"/>
        <w:ind w:left="30" w:right="30" w:firstLine="537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 Контроль за выполнением настоящего распоряжения оставляю за собой.</w:t>
      </w:r>
    </w:p>
    <w:p w:rsidR="0086640B" w:rsidRDefault="0086640B" w:rsidP="00683C83">
      <w:pPr>
        <w:suppressAutoHyphens/>
        <w:ind w:firstLine="567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86640B" w:rsidRDefault="0086640B" w:rsidP="0086640B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86640B" w:rsidRDefault="00683C83" w:rsidP="0086640B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</w:t>
      </w:r>
      <w:r w:rsidR="0086640B">
        <w:rPr>
          <w:bCs/>
          <w:lang w:eastAsia="ar-SA"/>
        </w:rPr>
        <w:t>лав</w:t>
      </w:r>
      <w:r>
        <w:rPr>
          <w:bCs/>
          <w:lang w:eastAsia="ar-SA"/>
        </w:rPr>
        <w:t>ы</w:t>
      </w:r>
      <w:r w:rsidR="0086640B">
        <w:rPr>
          <w:bCs/>
          <w:lang w:eastAsia="ar-SA"/>
        </w:rPr>
        <w:t xml:space="preserve"> </w:t>
      </w:r>
    </w:p>
    <w:p w:rsidR="0086640B" w:rsidRDefault="00683C83" w:rsidP="0086640B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 xml:space="preserve">Бураковского </w:t>
      </w:r>
      <w:r w:rsidR="0086640B">
        <w:rPr>
          <w:bCs/>
          <w:lang w:eastAsia="ar-SA"/>
        </w:rPr>
        <w:t xml:space="preserve"> сельского поселения   </w:t>
      </w:r>
    </w:p>
    <w:p w:rsidR="0086640B" w:rsidRDefault="0086640B" w:rsidP="0086640B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                      </w:t>
      </w:r>
      <w:r w:rsidR="00683C83">
        <w:rPr>
          <w:lang w:eastAsia="ar-SA"/>
        </w:rPr>
        <w:t xml:space="preserve">         </w:t>
      </w:r>
      <w:r>
        <w:rPr>
          <w:lang w:eastAsia="ar-SA"/>
        </w:rPr>
        <w:t xml:space="preserve">   </w:t>
      </w:r>
      <w:proofErr w:type="spellStart"/>
      <w:r w:rsidR="00683C83">
        <w:rPr>
          <w:lang w:eastAsia="ar-SA"/>
        </w:rPr>
        <w:t>Е.М.Баязова</w:t>
      </w:r>
      <w:proofErr w:type="spellEnd"/>
    </w:p>
    <w:p w:rsidR="0086640B" w:rsidRDefault="0086640B" w:rsidP="0086640B">
      <w:pPr>
        <w:ind w:firstLine="0"/>
        <w:jc w:val="left"/>
        <w:rPr>
          <w:sz w:val="24"/>
          <w:szCs w:val="24"/>
          <w:lang w:eastAsia="ar-SA"/>
        </w:rPr>
        <w:sectPr w:rsidR="0086640B" w:rsidSect="00683C83">
          <w:pgSz w:w="11906" w:h="16838"/>
          <w:pgMar w:top="284" w:right="567" w:bottom="1134" w:left="1701" w:header="720" w:footer="720" w:gutter="0"/>
          <w:cols w:space="720"/>
        </w:sectPr>
      </w:pPr>
    </w:p>
    <w:p w:rsidR="0086640B" w:rsidRDefault="0086640B" w:rsidP="0086640B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lastRenderedPageBreak/>
        <w:t xml:space="preserve">ПРИЛОЖЕНИЕ </w:t>
      </w:r>
    </w:p>
    <w:p w:rsidR="0086640B" w:rsidRDefault="0086640B" w:rsidP="0086640B">
      <w:pPr>
        <w:suppressAutoHyphens/>
        <w:ind w:left="5245" w:firstLine="0"/>
        <w:jc w:val="center"/>
        <w:rPr>
          <w:lang w:eastAsia="ar-SA"/>
        </w:rPr>
      </w:pPr>
    </w:p>
    <w:p w:rsidR="0086640B" w:rsidRDefault="0086640B" w:rsidP="0086640B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УТВЕРЖДЕНО</w:t>
      </w:r>
    </w:p>
    <w:p w:rsidR="0086640B" w:rsidRDefault="0086640B" w:rsidP="0086640B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86640B" w:rsidRDefault="0086640B" w:rsidP="0086640B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683C83">
        <w:rPr>
          <w:lang w:eastAsia="ar-SA"/>
        </w:rPr>
        <w:t>Бураковского</w:t>
      </w:r>
      <w:r>
        <w:rPr>
          <w:lang w:eastAsia="ar-SA"/>
        </w:rPr>
        <w:t xml:space="preserve"> сельского поселения</w:t>
      </w:r>
    </w:p>
    <w:p w:rsidR="0086640B" w:rsidRDefault="0086640B" w:rsidP="0086640B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86640B" w:rsidRDefault="0086640B" w:rsidP="0086640B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683C83">
        <w:rPr>
          <w:lang w:eastAsia="ar-SA"/>
        </w:rPr>
        <w:t>02 сентября 2019 года № 53</w:t>
      </w:r>
      <w:r>
        <w:rPr>
          <w:lang w:eastAsia="ar-SA"/>
        </w:rPr>
        <w:t>-р</w:t>
      </w:r>
    </w:p>
    <w:p w:rsidR="0086640B" w:rsidRDefault="0086640B" w:rsidP="0086640B">
      <w:pPr>
        <w:suppressAutoHyphens/>
        <w:ind w:firstLine="0"/>
        <w:jc w:val="left"/>
        <w:rPr>
          <w:lang w:eastAsia="ar-SA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>ПОЛОЖЕНИЕ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>по работе с инцидентами информационной безопасности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40B" w:rsidRDefault="0086640B">
            <w:pPr>
              <w:widowControl w:val="0"/>
              <w:suppressAutoHyphens/>
              <w:autoSpaceDN w:val="0"/>
              <w:ind w:firstLine="0"/>
              <w:jc w:val="left"/>
              <w:rPr>
                <w:rFonts w:ascii="Tahoma" w:hAnsi="Tahoma" w:cs="Tahoma"/>
                <w:kern w:val="3"/>
                <w:sz w:val="20"/>
                <w:szCs w:val="20"/>
              </w:rPr>
            </w:pP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Аннотация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 xml:space="preserve">Настоящее Положение разработано в целях организации работы с инцидентами информационной безопасности в администрации </w:t>
            </w:r>
            <w:r w:rsidR="00683C83">
              <w:rPr>
                <w:color w:val="000000"/>
                <w:kern w:val="3"/>
              </w:rPr>
              <w:t>Бураковского</w:t>
            </w:r>
            <w:r>
              <w:rPr>
                <w:color w:val="000000"/>
                <w:kern w:val="3"/>
              </w:rPr>
              <w:t xml:space="preserve"> сельского поселения Кореновского района (далее – Администрация).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Инцидент - одно событие или группы событий, которые могут привести к сбоям или нарушению функционирования информационной системы (далее - ИС) и (или) к возникновению угроз безопасности информации, в том числе персональных данных.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1. Общие положения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Положение о работе с инцидентами информационной безопасности (далее – Положение) разработано в соответствии с: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Федеральным законом Российской Федерации от 27 июля 2006 года № 152-ФЗ «О персональных данных» (далее – Федеральный закон № 152-ФЗ);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Федеральным законом Российской Федерации от 27 июля 2006 года № 149-ФЗ «Об информации, информационных технологиях и о защите информации»;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3) 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года № 1119;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4) требованиями по реализации мер, предусмотренных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утверждёнными приказом ФСТЭК России от 18 февраля 2013 года № 21;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5) политикой информационной безопасности Администрации.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Работа с инцидентами в области информационной безопасности помогает определить наиболее актуальные угрозы информационной безопасности и создает обратную связь в системе обеспечения информационной безопасности, что способствует повышению общего уровня защиты информационных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lastRenderedPageBreak/>
              <w:t>2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ресурсов и информационных систем.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lastRenderedPageBreak/>
              <w:tab/>
              <w:t>Работа с инцидентами включает в себя следующие направления: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1) определение лиц, ответственных за выявление инцидентов и реагирование на них;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ab/>
              <w:t>2) обнаружение, идентификация и регистрация инцидентов;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3) 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4) анализ инцидентов, в том числе определение источников и причин возникновения инцидентов, а так же оценка их последствий;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5) принятие мер по устранению последствий инцидентов;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6) планирование и принятие мер по предотвращению повторного возникновения инцидентов.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Для анализа инцидентов, в том числе определения источников и причин возникновения инцидентов, а также оценки их последствий; планирования и принятия мер по предотвращению повторного возникновения инцидентов, назначается постоянно действующая комиссия по работе с инцидентами в соответствии с приказом главы Администрации.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2. Ответственные за выявление инцидентов и реагирование на них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2.1. В информационных системах.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Ответственными за выявление инцидентов в ИС являются: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лица, имеющие право доступа к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ответственный за техническое обслуживание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3) администратор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4) администратор информационной безопасности ИС.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Ответственными за реагирование на инциденты в ИС являются: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лица, имеющих право доступа к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руководитель подразделения Администрации, в котором выявлен инцидент;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3) ответственный за техническое обслуживание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4) администратор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5) администратор информационной безопасности ИС;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 xml:space="preserve">6) ответственный за организацию обработки персональных данных Администрации, в случае, если ИС является информационной системой персональных данных (далее - </w:t>
            </w:r>
            <w:proofErr w:type="spellStart"/>
            <w:r>
              <w:rPr>
                <w:color w:val="000000"/>
                <w:kern w:val="3"/>
              </w:rPr>
              <w:t>ИСПДн</w:t>
            </w:r>
            <w:proofErr w:type="spellEnd"/>
            <w:r>
              <w:rPr>
                <w:color w:val="000000"/>
                <w:kern w:val="3"/>
              </w:rPr>
              <w:t>);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7) Председатель комиссии по работе с инцидентами.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2.2. Вне информационных систем.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Ответственными за выявление инцидентов вне ИС являются все сотрудники Администрации.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Ответственными за реагирование на инциденты вне ИС являются: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сотрудник Администрации, обнаруживший инцидент;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lastRenderedPageBreak/>
              <w:t>3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руководитель подразделения Администрации, в котором выявлен инцидент;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3) ответственный за организацию обработки персональных данных Администрации, в случае, если существует угроза безопасности персональных данных;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4) Председатель комиссии по работе с инцидентами.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lastRenderedPageBreak/>
              <w:t>3. Обнаружение, идентификация и регистрация инцидентов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3.1. Работа по обнаружению инцидентов в области информационной безопасности включает в себя мероприятия, направленные на: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выявление инцидентов в области информационной безопасности с помощью технических средств;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выявление инцидентов в области информационной безопасности в ходе контрольных мероприятий;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3) выявление инцидентов с помощью сотрудников Администрации.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3.2. Работа по идентификации инцидентов в области информационной безопасности включает в себя мероприятия, направленные на доведение до сотрудников Администрации информации, позволяющей идентифицировать инциденты.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 xml:space="preserve">3.3. Регистрацию инцидентов осуществляет Председатель комиссии по работе с инцидентами в журнале регистрации инцидентов информационной безопасности. Форма журнала утверждается распоряжением главы </w:t>
            </w:r>
            <w:r w:rsidR="00683C83">
              <w:rPr>
                <w:color w:val="000000"/>
                <w:kern w:val="3"/>
              </w:rPr>
              <w:t>Бураковского</w:t>
            </w:r>
            <w:r>
              <w:rPr>
                <w:color w:val="000000"/>
                <w:kern w:val="3"/>
              </w:rPr>
              <w:t xml:space="preserve"> сельского поселения Кореновского района.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Хранение журнала осуществляется в местах, исключающих доступ к журналу посторонних лиц. Журнал хранится в течение 5 лет после завершения ведения. Ответственный за хранение ведение и хранение журнала - Председатель комиссии по работе с инцидентами.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4. Информирование о возникновении инцидентов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 xml:space="preserve">Сотрудник Администрации (пользователь ИС), обнаруживший инцидент в ИС, должен незамедлительно, любым доступным способом, сообщить об инциденте непосредственному руководителю, администратору ИС, администратору информационной безопасности ИС, ответственному за организацию обработки персональных данных Администрации (в случае если ИС является </w:t>
            </w:r>
            <w:proofErr w:type="spellStart"/>
            <w:r>
              <w:rPr>
                <w:color w:val="000000"/>
                <w:kern w:val="3"/>
              </w:rPr>
              <w:t>ИСПДн</w:t>
            </w:r>
            <w:proofErr w:type="spellEnd"/>
            <w:r>
              <w:rPr>
                <w:color w:val="000000"/>
                <w:kern w:val="3"/>
              </w:rPr>
              <w:t>), Председателю комиссии по работе с инцидентами.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Администратор ИС, в случае необходимости, информирует пользователей ИС о возникновении инцидента и дает указания по дальнейшим действиям.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lastRenderedPageBreak/>
              <w:t>4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lastRenderedPageBreak/>
              <w:t>5. Анализ инцидентов, а также оценка их последствий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683C83">
        <w:tc>
          <w:tcPr>
            <w:tcW w:w="96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Анализ инцидентов, в том числе определение источников и причин возникновения инцидентов, а также оценку их последствий осуществляет комиссия по работе с инцидентами информационной безопасности.</w:t>
            </w:r>
          </w:p>
        </w:tc>
      </w:tr>
    </w:tbl>
    <w:p w:rsidR="0086640B" w:rsidRDefault="0086640B" w:rsidP="0086640B">
      <w:pPr>
        <w:widowControl w:val="0"/>
        <w:suppressAutoHyphens/>
        <w:autoSpaceDN w:val="0"/>
        <w:ind w:firstLine="0"/>
        <w:jc w:val="left"/>
        <w:textAlignment w:val="baseline"/>
        <w:rPr>
          <w:rFonts w:ascii="Liberation Serif" w:eastAsia="SimSun" w:hAnsi="Liberation Serif" w:cs="Mangal" w:hint="eastAsia"/>
          <w:vanish/>
          <w:kern w:val="3"/>
          <w:sz w:val="24"/>
          <w:szCs w:val="24"/>
          <w:lang w:eastAsia="zh-C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86640B" w:rsidTr="0086640B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5.1. Источниками и причинами возникновения инцидентов в области информационной безопасности являются: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ab/>
              <w:t>1) действия организаций и отдельных лиц враждебные интересам Администрации;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2) отсутствие персональной ответственности сотрудников Администрации и их руководителей за обеспечение информационной безопасности, в том числе персональных данных;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ab/>
              <w:t>3) недостаточная работа с персоналом по обеспечению необходимого режима соблюдения конфиденциальности, в том числе персональных данных;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4) отсутствие дисциплинарной мотивации соблюдения правил и требований информационной безопасности;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5) недостаточная техническая оснащённость подразделений, ответственных за обеспечение информационной безопасности;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ab/>
              <w:t>6) совмещение функций по разработке и сопровождению или сопровождению и контролю за информационными системами;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ab/>
              <w:t>7) наличие привилегированных бесконтрольных пользователей в информационной системе;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8) пренебрежение правилами и требованиями информационной безопасности сотрудниками Администрации;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9) и другие причины.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5.2. Оценка последствий инцидента производится на основании потенциально возможного или фактического ущерба.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ab/>
              <w:t> </w:t>
            </w:r>
          </w:p>
        </w:tc>
      </w:tr>
      <w:tr w:rsidR="0086640B" w:rsidTr="0086640B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6. Принятие мер по устранению последствий инцидентов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86640B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Меры по устранению последствий инцидентов включает в себя мероприятия, направленные на: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определение границ инцидента и ущерба от реализации угроз информационной безопасности;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ликвидацию последствий инцидента и полное либо частичное возмещение ущерба.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86640B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kern w:val="3"/>
              </w:rPr>
              <w:t>7. Планирование и принятие мер по предотвращению инцидентов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color w:val="000000"/>
                <w:kern w:val="3"/>
              </w:rPr>
              <w:t> </w:t>
            </w:r>
          </w:p>
        </w:tc>
      </w:tr>
      <w:tr w:rsidR="0086640B" w:rsidTr="0086640B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7.1. Планирование и принятие мер по предотвращению возникновения инцидентов осуществляет комиссия по работе с инцидентами информационной безопасности и основывается на: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1) планомерной деятельности по повышению уровня осознания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lastRenderedPageBreak/>
              <w:t>5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color w:val="000000"/>
                <w:kern w:val="3"/>
              </w:rPr>
            </w:pP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0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информационной безопасности руководством и сотрудниками Администрации;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2) проведении мероприятий по обучению сотрудников Администрации правилам и способам работы со средствами защиты информационных систем;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3) доведении до сотрудников норм законодательства, внутренних документов Администрации, устанавливающих ответственность за нарушение требований информационной безопасности;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4) разъяснительной работе с увольняющимися сотрудниками и сотрудниками, принимаемыми на работу;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5) своевременной модернизации системы обеспечения информационной безопасности, с учетом возникновения новых угроз информационной безопасности, либо в случае изменения требований руководящих документов по организации обеспечения информационной безопасности;</w:t>
            </w:r>
            <w:r>
              <w:rPr>
                <w:color w:val="000000"/>
                <w:kern w:val="3"/>
              </w:rPr>
              <w:br/>
            </w:r>
            <w:r>
              <w:rPr>
                <w:color w:val="000000"/>
                <w:kern w:val="3"/>
              </w:rPr>
              <w:tab/>
              <w:t>6) своевременном обновлении программного обеспечения, в том числе баз сигнатур антивирусных средств.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7.2. Работа с персоналом.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Как правило, самым слабым звеном в любой системе безопасности является человек. Поэтому работа с персоналом является основным направлением деятельности по обеспечению требований информационной безопасности.</w:t>
            </w:r>
            <w:r>
              <w:rPr>
                <w:color w:val="000000"/>
                <w:kern w:val="3"/>
              </w:rPr>
              <w:br/>
            </w:r>
            <w:r>
              <w:rPr>
                <w:color w:val="000000"/>
                <w:kern w:val="3"/>
              </w:rPr>
              <w:tab/>
              <w:t>В работе с персоналом основной упор должен делаться не на наказание сотрудника за нарушения в области информационной безопасности, а на поощрение за надлежащие выполнение требований информационной безопасности, проявление личной инициативы в укреплении системы информационной безопасности.</w:t>
            </w:r>
          </w:p>
          <w:p w:rsidR="0086640B" w:rsidRDefault="0086640B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Персонал Администрации является важным источником сведений об инцидентах информационной безопасности, поэтому необходимо донести до сотрудников информацию о том, что оперативно предоставленные сведения об инциденте информационной безопасности являются основанием для смягчения либо отмены наказания за нарушение требований информационной безопасности.</w:t>
            </w:r>
          </w:p>
          <w:p w:rsidR="00683C83" w:rsidRDefault="00683C83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  <w:p w:rsidR="00683C83" w:rsidRDefault="00683C83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color w:val="000000"/>
                <w:kern w:val="3"/>
              </w:rPr>
            </w:pPr>
          </w:p>
        </w:tc>
      </w:tr>
    </w:tbl>
    <w:p w:rsidR="0086640B" w:rsidRDefault="0086640B" w:rsidP="0086640B">
      <w:pPr>
        <w:suppressAutoHyphens/>
        <w:ind w:firstLine="0"/>
        <w:jc w:val="left"/>
        <w:rPr>
          <w:lang w:eastAsia="ar-SA"/>
        </w:rPr>
      </w:pPr>
    </w:p>
    <w:p w:rsidR="0086640B" w:rsidRDefault="00683C83" w:rsidP="0086640B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86640B">
        <w:rPr>
          <w:bCs/>
          <w:lang w:eastAsia="ar-SA"/>
        </w:rPr>
        <w:t xml:space="preserve"> </w:t>
      </w:r>
    </w:p>
    <w:p w:rsidR="0086640B" w:rsidRDefault="00683C83" w:rsidP="0086640B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 xml:space="preserve">Бураковского </w:t>
      </w:r>
      <w:r w:rsidR="0086640B">
        <w:rPr>
          <w:bCs/>
          <w:lang w:eastAsia="ar-SA"/>
        </w:rPr>
        <w:t xml:space="preserve"> сельского поселения   </w:t>
      </w:r>
    </w:p>
    <w:p w:rsidR="0086640B" w:rsidRDefault="0086640B" w:rsidP="0086640B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</w:t>
      </w:r>
      <w:r w:rsidR="00683C83">
        <w:rPr>
          <w:lang w:eastAsia="ar-SA"/>
        </w:rPr>
        <w:t xml:space="preserve">                                 </w:t>
      </w:r>
      <w:proofErr w:type="spellStart"/>
      <w:r w:rsidR="00683C83">
        <w:rPr>
          <w:lang w:eastAsia="ar-SA"/>
        </w:rPr>
        <w:t>Е.М.Баязова</w:t>
      </w:r>
      <w:proofErr w:type="spellEnd"/>
    </w:p>
    <w:p w:rsidR="0086640B" w:rsidRDefault="0086640B" w:rsidP="0086640B">
      <w:pPr>
        <w:suppressAutoHyphens/>
        <w:ind w:firstLine="0"/>
        <w:jc w:val="left"/>
        <w:rPr>
          <w:lang w:eastAsia="ar-SA"/>
        </w:rPr>
      </w:pPr>
    </w:p>
    <w:p w:rsidR="0086640B" w:rsidRDefault="0086640B" w:rsidP="0086640B">
      <w:pPr>
        <w:ind w:firstLine="0"/>
        <w:jc w:val="center"/>
      </w:pPr>
    </w:p>
    <w:p w:rsidR="004A33A0" w:rsidRDefault="004A33A0">
      <w:bookmarkStart w:id="0" w:name="_GoBack"/>
      <w:bookmarkEnd w:id="0"/>
    </w:p>
    <w:sectPr w:rsidR="004A33A0" w:rsidSect="00683C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7"/>
    <w:rsid w:val="004A33A0"/>
    <w:rsid w:val="00653F86"/>
    <w:rsid w:val="00683C83"/>
    <w:rsid w:val="0086640B"/>
    <w:rsid w:val="009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0EE5A-0EC1-4F4B-81C3-6A22432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640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40B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664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86640B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2019-09-06T08:49:00Z</dcterms:created>
  <dcterms:modified xsi:type="dcterms:W3CDTF">2019-09-06T12:44:00Z</dcterms:modified>
</cp:coreProperties>
</file>