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EE" w:rsidRDefault="00C422EE" w:rsidP="00C422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563261" wp14:editId="55D764FD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EE" w:rsidRDefault="00C422EE" w:rsidP="00EE5D60">
      <w:pPr>
        <w:jc w:val="both"/>
        <w:rPr>
          <w:sz w:val="28"/>
          <w:szCs w:val="28"/>
        </w:rPr>
      </w:pPr>
    </w:p>
    <w:p w:rsidR="00EE5D60" w:rsidRDefault="00EE5D60" w:rsidP="00EE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0198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E5D60" w:rsidRDefault="00EE5D60" w:rsidP="00EE5D60">
      <w:pPr>
        <w:jc w:val="center"/>
        <w:rPr>
          <w:sz w:val="36"/>
          <w:szCs w:val="36"/>
        </w:rPr>
      </w:pPr>
    </w:p>
    <w:p w:rsidR="00EE5D60" w:rsidRDefault="00EE5D60" w:rsidP="00EE5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5D60" w:rsidRDefault="00EE5D60" w:rsidP="00EE5D60">
      <w:pPr>
        <w:jc w:val="center"/>
        <w:rPr>
          <w:b/>
          <w:sz w:val="36"/>
          <w:szCs w:val="36"/>
        </w:rPr>
      </w:pPr>
    </w:p>
    <w:p w:rsidR="00EE5D60" w:rsidRDefault="00C01982" w:rsidP="00EE5D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="00EE5D60">
        <w:rPr>
          <w:b/>
          <w:sz w:val="24"/>
          <w:szCs w:val="24"/>
        </w:rPr>
        <w:t xml:space="preserve">.12.2019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128</w:t>
      </w:r>
    </w:p>
    <w:p w:rsidR="00EE5D60" w:rsidRDefault="00C01982" w:rsidP="00EE5D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E5D60" w:rsidRDefault="00EE5D60" w:rsidP="00EE5D60">
      <w:pPr>
        <w:jc w:val="center"/>
        <w:rPr>
          <w:sz w:val="24"/>
          <w:szCs w:val="24"/>
        </w:rPr>
      </w:pPr>
    </w:p>
    <w:p w:rsidR="00EE5D60" w:rsidRDefault="00EE5D60" w:rsidP="00EE5D60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01982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</w:t>
      </w:r>
      <w:r w:rsidR="00C01982">
        <w:rPr>
          <w:b/>
          <w:sz w:val="28"/>
          <w:szCs w:val="28"/>
        </w:rPr>
        <w:t>еления Кореновского района от 30</w:t>
      </w:r>
      <w:r>
        <w:rPr>
          <w:b/>
          <w:sz w:val="28"/>
          <w:szCs w:val="28"/>
        </w:rPr>
        <w:t xml:space="preserve"> </w:t>
      </w:r>
      <w:r w:rsidR="00C01982">
        <w:rPr>
          <w:b/>
          <w:sz w:val="28"/>
          <w:szCs w:val="28"/>
        </w:rPr>
        <w:t>октября 2018 года № 103</w:t>
      </w:r>
      <w:r>
        <w:rPr>
          <w:b/>
          <w:sz w:val="28"/>
          <w:szCs w:val="28"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r w:rsidR="00C01982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района»</w:t>
      </w:r>
    </w:p>
    <w:p w:rsidR="00EE5D60" w:rsidRDefault="00EE5D60" w:rsidP="00EE5D60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EE5D60" w:rsidRDefault="00EE5D60" w:rsidP="00EE5D60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С целью приведения нормативных актов администрации </w:t>
      </w:r>
      <w:r w:rsidR="00C01982">
        <w:rPr>
          <w:color w:val="000000"/>
          <w:kern w:val="2"/>
          <w:sz w:val="28"/>
          <w:szCs w:val="28"/>
        </w:rPr>
        <w:t xml:space="preserve">Бураковского </w:t>
      </w:r>
      <w:r>
        <w:rPr>
          <w:color w:val="000000"/>
          <w:kern w:val="2"/>
          <w:sz w:val="28"/>
          <w:szCs w:val="28"/>
        </w:rPr>
        <w:t xml:space="preserve">сельского поселения Кореновского района в соответствии с действующим законодательством, администрация </w:t>
      </w:r>
      <w:r w:rsidR="00C01982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Кореновского района,  п о с т а н о в л я е т: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</w:t>
      </w:r>
    </w:p>
    <w:p w:rsidR="00EE5D60" w:rsidRDefault="00EE5D60" w:rsidP="00EE5D60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="00C01982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 xml:space="preserve">сельского поселения Кореновского района от </w:t>
      </w:r>
      <w:r w:rsidR="00C01982">
        <w:rPr>
          <w:color w:val="000000"/>
          <w:sz w:val="28"/>
          <w:szCs w:val="28"/>
        </w:rPr>
        <w:t>30 октября  2018 года № 103</w:t>
      </w:r>
      <w:r>
        <w:rPr>
          <w:color w:val="000000"/>
          <w:sz w:val="28"/>
          <w:szCs w:val="28"/>
        </w:rPr>
        <w:t xml:space="preserve"> «Об утверждении Порядка регистрации захоронений, произведенных на общественных кладбищах, расположенных на территории </w:t>
      </w:r>
      <w:r w:rsidR="00C01982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района»  следующие изменения: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5 пункта 5 раздела </w:t>
      </w:r>
      <w:r>
        <w:rPr>
          <w:color w:val="000000"/>
          <w:sz w:val="28"/>
          <w:szCs w:val="28"/>
          <w:lang w:val="en-US"/>
        </w:rPr>
        <w:t>II</w:t>
      </w:r>
      <w:r w:rsidRPr="00EE5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копии документов, подтверждающих право захоронения умершего на участке воинских захоронений (в случае захоронения на данном участке);»;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 раздела </w:t>
      </w:r>
      <w:r>
        <w:rPr>
          <w:color w:val="000000"/>
          <w:sz w:val="28"/>
          <w:szCs w:val="28"/>
          <w:lang w:val="en-US"/>
        </w:rPr>
        <w:t>II</w:t>
      </w:r>
      <w:r w:rsidRPr="00EE5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подпунктом 6 следующего содержания: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«6) при погребении на месте почетного захоронения помимо документов, указанных в подпунктах 1-4 настоящего пункта дополнительно предоставляются: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ходатайство на имя главы </w:t>
      </w:r>
      <w:r w:rsidR="00C01982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 супруга, близкого родственника, иных родственников, законного представителя умершего (погибшего) или иного лица, взявшему на себя обязанность осуществить погребение умершего (погибшего), или организаций;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захоронения.»;</w:t>
      </w:r>
    </w:p>
    <w:p w:rsidR="00EE5D60" w:rsidRDefault="00EE5D60" w:rsidP="00EE5D60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10 -12 раздела II изложить в следующей редакции: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«10. На месте почетного захоронения допускается </w:t>
      </w:r>
      <w:proofErr w:type="spellStart"/>
      <w:r>
        <w:rPr>
          <w:color w:val="000000"/>
          <w:sz w:val="28"/>
          <w:szCs w:val="28"/>
        </w:rPr>
        <w:t>подзахоронение</w:t>
      </w:r>
      <w:proofErr w:type="spellEnd"/>
      <w:r>
        <w:rPr>
          <w:color w:val="000000"/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погребении путем </w:t>
      </w:r>
      <w:proofErr w:type="spellStart"/>
      <w:r>
        <w:rPr>
          <w:iCs/>
          <w:sz w:val="28"/>
          <w:szCs w:val="28"/>
        </w:rPr>
        <w:t>подзахоронения</w:t>
      </w:r>
      <w:proofErr w:type="spellEnd"/>
      <w:r>
        <w:rPr>
          <w:iCs/>
          <w:sz w:val="28"/>
          <w:szCs w:val="28"/>
        </w:rPr>
        <w:t xml:space="preserve"> на месте почетного захоронения в администрацию </w:t>
      </w:r>
      <w:r w:rsidR="00C01982">
        <w:rPr>
          <w:iCs/>
          <w:sz w:val="28"/>
          <w:szCs w:val="28"/>
        </w:rPr>
        <w:t>Бураковского</w:t>
      </w:r>
      <w:r>
        <w:rPr>
          <w:iCs/>
          <w:sz w:val="28"/>
          <w:szCs w:val="28"/>
        </w:rPr>
        <w:t xml:space="preserve"> сельского поселения Кореновского района к заявлению о </w:t>
      </w:r>
      <w:proofErr w:type="spellStart"/>
      <w:r>
        <w:rPr>
          <w:iCs/>
          <w:sz w:val="28"/>
          <w:szCs w:val="28"/>
        </w:rPr>
        <w:t>подзахоронении</w:t>
      </w:r>
      <w:proofErr w:type="spellEnd"/>
      <w:r>
        <w:rPr>
          <w:iCs/>
          <w:sz w:val="28"/>
          <w:szCs w:val="28"/>
        </w:rPr>
        <w:t xml:space="preserve"> на месте почетного захоронения прилагаются следующие документы: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EE5D60" w:rsidRDefault="00EE5D60" w:rsidP="00EE5D6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 копия справки о кремации при захоронении урн с прахом после кремации;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свидетельство о регистрации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месте почетного захоронения;</w:t>
      </w:r>
    </w:p>
    <w:p w:rsidR="00EE5D60" w:rsidRDefault="00EE5D60" w:rsidP="00EE5D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>
        <w:rPr>
          <w:iCs/>
          <w:sz w:val="28"/>
          <w:szCs w:val="28"/>
        </w:rPr>
        <w:t>подзахоронению</w:t>
      </w:r>
      <w:proofErr w:type="spellEnd"/>
      <w:r>
        <w:rPr>
          <w:iCs/>
          <w:sz w:val="28"/>
          <w:szCs w:val="28"/>
        </w:rPr>
        <w:t>.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5-8, 10 раздела </w:t>
      </w:r>
      <w:r>
        <w:rPr>
          <w:sz w:val="28"/>
          <w:szCs w:val="28"/>
          <w:lang w:val="en-US"/>
        </w:rPr>
        <w:t>II</w:t>
      </w:r>
      <w:r w:rsidRPr="00EE5D6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подтверждаются оригиналами документов.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5-8,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).»;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1.4. пункт 16 раздела II изложить в следующей редакции: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«16. В день представления заявления и документов, 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которых предусмотрена пунктами 5-8, 10  раздела II настоящего Порядка.».</w:t>
      </w:r>
    </w:p>
    <w:p w:rsidR="00EE5D60" w:rsidRDefault="00EE5D60" w:rsidP="00EE5D60">
      <w:pPr>
        <w:widowControl w:val="0"/>
        <w:tabs>
          <w:tab w:val="left" w:pos="708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(</w:t>
      </w:r>
      <w:proofErr w:type="spellStart"/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C01982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EE5D60" w:rsidRDefault="00EE5D60" w:rsidP="00EE5D60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 П</w:t>
      </w: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остановление вступает в силу  после его официального обнародования.</w:t>
      </w:r>
    </w:p>
    <w:p w:rsidR="00EE5D60" w:rsidRDefault="00EE5D60" w:rsidP="00EE5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D60" w:rsidRDefault="00EE5D60" w:rsidP="00EE5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5D60" w:rsidRDefault="00C01982" w:rsidP="00EE5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E5D60">
        <w:rPr>
          <w:sz w:val="28"/>
          <w:szCs w:val="28"/>
        </w:rPr>
        <w:t xml:space="preserve"> сельского поселения </w:t>
      </w:r>
    </w:p>
    <w:p w:rsidR="004A33A0" w:rsidRPr="00C01982" w:rsidRDefault="00EE5D60" w:rsidP="00C0198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C01982">
        <w:rPr>
          <w:sz w:val="28"/>
          <w:szCs w:val="28"/>
        </w:rPr>
        <w:t xml:space="preserve">                             </w:t>
      </w:r>
      <w:proofErr w:type="spellStart"/>
      <w:r w:rsidR="00C01982">
        <w:rPr>
          <w:sz w:val="28"/>
          <w:szCs w:val="28"/>
        </w:rPr>
        <w:t>Л.И.Орлецкая</w:t>
      </w:r>
      <w:proofErr w:type="spellEnd"/>
    </w:p>
    <w:sectPr w:rsidR="004A33A0" w:rsidRPr="00C01982" w:rsidSect="00C4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0AA"/>
    <w:multiLevelType w:val="multilevel"/>
    <w:tmpl w:val="BF6636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E"/>
    <w:rsid w:val="00186222"/>
    <w:rsid w:val="004A33A0"/>
    <w:rsid w:val="005D1C1E"/>
    <w:rsid w:val="00653F86"/>
    <w:rsid w:val="00AF7CF7"/>
    <w:rsid w:val="00B0770F"/>
    <w:rsid w:val="00C01982"/>
    <w:rsid w:val="00C422EE"/>
    <w:rsid w:val="00E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FD21-1550-4F94-BBF2-03D6458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</cp:revision>
  <cp:lastPrinted>2020-01-14T13:27:00Z</cp:lastPrinted>
  <dcterms:created xsi:type="dcterms:W3CDTF">2019-12-27T09:33:00Z</dcterms:created>
  <dcterms:modified xsi:type="dcterms:W3CDTF">2020-01-14T13:27:00Z</dcterms:modified>
</cp:coreProperties>
</file>