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8" w:rsidRDefault="00F40837" w:rsidP="00E2507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3571603" wp14:editId="334934F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78" w:rsidRDefault="00E25078" w:rsidP="00E25078">
      <w:pPr>
        <w:tabs>
          <w:tab w:val="left" w:pos="709"/>
        </w:tabs>
        <w:jc w:val="center"/>
        <w:rPr>
          <w:color w:val="FF0000"/>
          <w:sz w:val="16"/>
        </w:rPr>
      </w:pP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40837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25078" w:rsidRDefault="00E25078" w:rsidP="00E25078">
      <w:pPr>
        <w:pStyle w:val="3"/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F40837">
        <w:rPr>
          <w:sz w:val="32"/>
          <w:szCs w:val="32"/>
        </w:rPr>
        <w:t>/проект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25078" w:rsidRDefault="00F40837" w:rsidP="00E25078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>от 00.04</w:t>
      </w:r>
      <w:r w:rsidR="00E25078">
        <w:rPr>
          <w:b/>
          <w:color w:val="000000"/>
        </w:rPr>
        <w:t>.2021</w:t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  <w:t xml:space="preserve">               </w:t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  <w:t xml:space="preserve">                                       № </w:t>
      </w:r>
      <w:r>
        <w:rPr>
          <w:b/>
          <w:color w:val="000000"/>
        </w:rPr>
        <w:t>00</w:t>
      </w:r>
    </w:p>
    <w:p w:rsidR="00E25078" w:rsidRDefault="00E25078" w:rsidP="00E25078">
      <w:pPr>
        <w:tabs>
          <w:tab w:val="left" w:pos="709"/>
        </w:tabs>
      </w:pPr>
      <w:r>
        <w:t xml:space="preserve">                                                             </w:t>
      </w:r>
      <w:proofErr w:type="spellStart"/>
      <w:r w:rsidR="00F40837">
        <w:t>х.Бураковский</w:t>
      </w:r>
      <w:proofErr w:type="spellEnd"/>
    </w:p>
    <w:p w:rsidR="00E25078" w:rsidRDefault="00E25078" w:rsidP="00E25078">
      <w:pPr>
        <w:tabs>
          <w:tab w:val="left" w:pos="709"/>
        </w:tabs>
      </w:pPr>
    </w:p>
    <w:p w:rsidR="00E25078" w:rsidRDefault="00E25078" w:rsidP="00E25078">
      <w:pPr>
        <w:tabs>
          <w:tab w:val="left" w:pos="709"/>
        </w:tabs>
      </w:pP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F40837">
        <w:rPr>
          <w:b/>
          <w:sz w:val="28"/>
          <w:szCs w:val="28"/>
        </w:rPr>
        <w:t>Бураковском</w:t>
      </w:r>
      <w:proofErr w:type="spellEnd"/>
      <w:r>
        <w:rPr>
          <w:b/>
          <w:sz w:val="28"/>
          <w:szCs w:val="28"/>
        </w:rPr>
        <w:t xml:space="preserve"> 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Кореновского района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Бюджетным кодексом Российской Федерации,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</w:t>
      </w:r>
      <w:r>
        <w:rPr>
          <w:sz w:val="28"/>
          <w:szCs w:val="28"/>
        </w:rPr>
        <w:t xml:space="preserve"> Совет </w:t>
      </w:r>
      <w:r w:rsidR="00F40837">
        <w:rPr>
          <w:sz w:val="28"/>
        </w:rPr>
        <w:t>Бура</w:t>
      </w:r>
      <w:r>
        <w:rPr>
          <w:sz w:val="28"/>
        </w:rPr>
        <w:t xml:space="preserve">ковского </w:t>
      </w:r>
      <w:r>
        <w:rPr>
          <w:sz w:val="28"/>
          <w:szCs w:val="28"/>
        </w:rPr>
        <w:t>сельского поселения Кореновского района  р е ш и л: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бюджетном процессе в </w:t>
      </w:r>
      <w:proofErr w:type="spellStart"/>
      <w:r w:rsidR="00F40837">
        <w:rPr>
          <w:sz w:val="28"/>
          <w:szCs w:val="28"/>
        </w:rPr>
        <w:t>Бура</w:t>
      </w:r>
      <w:r>
        <w:rPr>
          <w:sz w:val="28"/>
          <w:szCs w:val="28"/>
        </w:rPr>
        <w:t>ковском</w:t>
      </w:r>
      <w:proofErr w:type="spellEnd"/>
      <w:r>
        <w:rPr>
          <w:sz w:val="28"/>
          <w:szCs w:val="28"/>
        </w:rPr>
        <w:t xml:space="preserve">  сельском поселении Кореновского района (прилагается).                                                                                                           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решение Совета</w:t>
      </w:r>
      <w:r w:rsidR="00F40837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F40837">
        <w:rPr>
          <w:sz w:val="28"/>
          <w:szCs w:val="28"/>
        </w:rPr>
        <w:t>20 февраля  2017 года № 136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40837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района»;</w:t>
      </w:r>
    </w:p>
    <w:p w:rsidR="00E25078" w:rsidRDefault="00E25078" w:rsidP="00E25078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ar-SA"/>
        </w:rPr>
        <w:t xml:space="preserve">Обнародовать настоящее решение  на информационных стендах </w:t>
      </w:r>
      <w:r w:rsidR="00F40837">
        <w:rPr>
          <w:color w:val="000000"/>
          <w:sz w:val="28"/>
          <w:szCs w:val="28"/>
          <w:lang w:eastAsia="ar-SA"/>
        </w:rPr>
        <w:t>Бураковского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F40837">
        <w:rPr>
          <w:color w:val="000000"/>
          <w:sz w:val="28"/>
          <w:szCs w:val="28"/>
          <w:lang w:eastAsia="ar-SA"/>
        </w:rPr>
        <w:t xml:space="preserve">Бураковского </w:t>
      </w:r>
      <w:r>
        <w:rPr>
          <w:color w:val="000000"/>
          <w:sz w:val="28"/>
          <w:szCs w:val="28"/>
          <w:lang w:eastAsia="ar-SA"/>
        </w:rPr>
        <w:t>сельского поселения Кореновского района.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после его официального обнародования.</w:t>
      </w:r>
    </w:p>
    <w:p w:rsidR="00E25078" w:rsidRDefault="00E25078" w:rsidP="00E25078">
      <w:pPr>
        <w:tabs>
          <w:tab w:val="left" w:pos="709"/>
        </w:tabs>
        <w:ind w:firstLine="709"/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25078" w:rsidRDefault="00F40837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25078">
        <w:rPr>
          <w:sz w:val="28"/>
          <w:szCs w:val="28"/>
        </w:rPr>
        <w:t xml:space="preserve"> сельского поселения</w:t>
      </w: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F40837">
        <w:rPr>
          <w:sz w:val="28"/>
          <w:szCs w:val="28"/>
        </w:rPr>
        <w:t xml:space="preserve">                              Л.И. </w:t>
      </w:r>
      <w:proofErr w:type="spellStart"/>
      <w:r w:rsidR="00F40837">
        <w:rPr>
          <w:sz w:val="28"/>
          <w:szCs w:val="28"/>
        </w:rPr>
        <w:t>Орлецкая</w:t>
      </w:r>
      <w:proofErr w:type="spellEnd"/>
    </w:p>
    <w:p w:rsidR="00E25078" w:rsidRDefault="00E25078" w:rsidP="00E25078">
      <w:pPr>
        <w:tabs>
          <w:tab w:val="left" w:pos="709"/>
        </w:tabs>
        <w:jc w:val="both"/>
        <w:rPr>
          <w:sz w:val="28"/>
          <w:szCs w:val="20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lastRenderedPageBreak/>
        <w:t>ПРИЛОЖЕНИЕ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</w:rPr>
        <w:t>УТВЕРЖДЕНО</w:t>
      </w:r>
    </w:p>
    <w:p w:rsidR="00E25078" w:rsidRPr="0081703B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  <w:lang w:val="x-none"/>
        </w:rPr>
        <w:t>решени</w:t>
      </w:r>
      <w:r>
        <w:rPr>
          <w:sz w:val="28"/>
        </w:rPr>
        <w:t>ем</w:t>
      </w:r>
      <w:r>
        <w:rPr>
          <w:sz w:val="28"/>
          <w:lang w:val="x-none"/>
        </w:rPr>
        <w:t xml:space="preserve"> Совета </w:t>
      </w:r>
      <w:r w:rsidR="0081703B">
        <w:rPr>
          <w:sz w:val="28"/>
        </w:rPr>
        <w:t>Бураковского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t>сельского поселения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  <w:lang w:val="x-none"/>
        </w:rPr>
        <w:t>Кореновского района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</w:rPr>
        <w:t xml:space="preserve">от   </w:t>
      </w:r>
      <w:r w:rsidR="0081703B">
        <w:rPr>
          <w:sz w:val="28"/>
        </w:rPr>
        <w:t>00.04.2021</w:t>
      </w:r>
      <w:r>
        <w:rPr>
          <w:sz w:val="28"/>
        </w:rPr>
        <w:t xml:space="preserve"> года  № </w:t>
      </w:r>
      <w:r w:rsidR="0081703B">
        <w:rPr>
          <w:sz w:val="28"/>
        </w:rPr>
        <w:t>00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ПОЛОЖЕНИЕ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бюджетном процессе в </w:t>
      </w:r>
      <w:proofErr w:type="spellStart"/>
      <w:r w:rsidR="0081703B">
        <w:rPr>
          <w:b/>
          <w:color w:val="000000"/>
          <w:spacing w:val="-3"/>
          <w:sz w:val="28"/>
          <w:szCs w:val="28"/>
        </w:rPr>
        <w:t>Бураковском</w:t>
      </w:r>
      <w:proofErr w:type="spellEnd"/>
      <w:r w:rsidR="0081703B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сельском поселении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Предмет регулирования настоящего Положения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бюджетном процессе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утверждения и исполнения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местный бюджет), а также контроля за его исполнением, осуществления бюджетного учета, составления, внешней проверки, рассмотрения и утверждения бюджетной отчетности в части, не урегулированной Бюджетным кодексом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Правовая  основа 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нормативные правовые акты Краснодарского края, Устав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настоящее Положение и иные нормативные правовые акты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регулирующие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3.Участники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бюджетного процесса, обладающими бюджетными полномочиями на уровне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являются: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внутреннего финансового контроля;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источников финансирования дефицита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Бюджетные полномочия участников бюджетного процесса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рассмотрения и утверждения проекта решения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предоставления, рассмотрения и утверждения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проект местного бюджета, утверждает местный бюджет, годовой отчет о его исполнении, осуществляет контроль за исполнением местного бюджета; 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организации и проведения публичных слушаний по проекту местного бюджета и годовому отчету об исполнении местного бюджета;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определяет правовой статус органов внешнего муниципального контроля;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местные налоги и сборы в соответствии с законодательством;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проведения внешней проверки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проекты решений о местном бюджете, о внесении изменений в решение о местном бюджете, об исполнении местного бюджета, проекты других решений, регулирующих бюджетные правоотношения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района,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4.3.Администрация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сроки составления проекта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разработки прогноза  социально-экономического развития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одобряет прогноз социально-экономического развития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одновременно с принятием решения о внесении проекта местного бюджета в 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основных направлений бюджетной и налоговой политики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на долгосрочный период;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от имени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муниципальные гарантии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в качестве эмитента муниципальных ценных бумаг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условия эмиссии и обращения муниципальных ценных бумаг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эмиссии отдельного выпуска муниципальных ценных бумаг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муниципальные заимствования от имени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соответствии с решением Совета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предоставления бюджетных инвестиций муниципальным автономным и бюджетным учреждениям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управление муниципальным долгом;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состав, порядок и срок внесения информации в муниципальную долговую книгу;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ведения реестра расходных обязательств; 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осуществления полномочий органа финансового контроля по внутреннему муниципальному финансовому контролю;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отчет об исполнении местного бюджета за первый квартал, полугодие и девять месяцев текущего финансового года и направляет его в Совет </w:t>
      </w:r>
      <w:r w:rsidR="00C6435B">
        <w:rPr>
          <w:sz w:val="28"/>
          <w:szCs w:val="28"/>
        </w:rPr>
        <w:lastRenderedPageBreak/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Финансовый отдел администрации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района: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непосредственное составление проекта решения Совета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бюджете, представляет его с необходимыми документами и материалами в администрацию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представляет в администрацию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основные направления бюджетной и налоговой политики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запрашивать в установленном порядке и получать от органов местного самоуправления, организаций, расположенных на территории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материалы, необходимые для составления проекта местного бюджета, отчета об исполнении местного бюджета, разработки прогноза основных характеристик бюджета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а также отчета об исполнении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бюджета, в соответствии с общими требованиями, установленными Федеральным казначейством;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исполнение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операции со средствами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полный и стандартизированный учет операций со средствами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составления и ведения сводной бюджетной росписи местного бюджета, бюджетных росписей главных распорядителей </w:t>
      </w:r>
      <w:r>
        <w:rPr>
          <w:sz w:val="28"/>
          <w:szCs w:val="28"/>
        </w:rPr>
        <w:lastRenderedPageBreak/>
        <w:t>(распорядителей) средств местного бюджета и кассового плана исполнения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бюджетную роспись местного бюджета и вносит изменения в нее;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муниципальную долговую книгу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бюджетную отчетность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главных распорядителей (распорядителей) и получателей средств местного бюджета бюджетные ассигнования, лимиты бюджетных обязательств, предельные объемы финансирования;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счета которых открыты в финансовом органе;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исполнением, в установленном им порядке;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</w:t>
      </w:r>
      <w:proofErr w:type="spellStart"/>
      <w:r w:rsidR="00C6435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срок, а также иных документов связанных с исполнением;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методическое руководство по вопросам ведения реестра расходных обязательств и текущий контроль за полнотой, своевременностью и достоверностью реестров расходных обязательств, представляемых главными распорядителями средств местного бюджета;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пределах своей компетенции в разработке нормативных правовых актов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контроль за: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6435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превышением суммы по операции над лимитами бюджетных обязательств и (или)  бюджетными ассигнованиями;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является постоянно действующим органом внешнего муниципального финансового контроля.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Полномочиями Контрольно-счётной палаты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являются: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C6435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</w:t>
      </w:r>
      <w:r>
        <w:rPr>
          <w:sz w:val="28"/>
          <w:szCs w:val="28"/>
        </w:rPr>
        <w:lastRenderedPageBreak/>
        <w:t xml:space="preserve">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муниципальных программ;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бюджетного процесса в </w:t>
      </w:r>
      <w:proofErr w:type="spellStart"/>
      <w:r w:rsidR="00C6435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и подготовка предложений, направленных на его совершенствование;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информации о ходе исполнения бюджета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о результатах проведенных контрольных и экспертно-аналитических мероприятий и представление такой информации в Совет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главе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реестра расходных обязательств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предмет выявления соответствия между расходными обязательствами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исполнения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иными федеральными законами, Уставом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Положением о Контрольно-счётной палате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 внутреннего финансового контроля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Бюджетные полномочия   участников бюджетного процесса: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Доходы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формируются за счет налоговых и неналоговых видов доходов, а также за счет безвозмездных поступлений, подлежащих зачислению в местный бюджет,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Общие положения о расходах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местного бюджета.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7.Капитальные вложения за счет средств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осуществление капитальных вложений за счет средств местного бюджета в объекты муниципальной собственности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предусматриваются в соответствии с муниципальными программами и иными нормативными правовыми актами администрации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предоставление муниципальным бюджетным и автономным учреждениям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</w:t>
      </w:r>
      <w:r>
        <w:rPr>
          <w:sz w:val="28"/>
          <w:szCs w:val="28"/>
        </w:rPr>
        <w:lastRenderedPageBreak/>
        <w:t>сводной бюджетной росписи местного бюджета суммарно в соответствии с бюджетной классификацией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инвестиции юридическим лицам, не являющимся муниципальными учреждениями,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лица, объема и цели выделяемых бюджетных ассигнований.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Использование остатков средств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местного бюджета, сложившиеся на начало текущего финансового года, в полном объеме могут направляться в текущем финансовом году на покрытие временных кассовых разрывов, возникающих в ходе исполнения местного бюджета, если иное не предусмотрено бюджетным законодательством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местного бюджета на начало текущего финансового года: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превышения общей суммы заимствований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итогам отчетного финансового года направляются в </w:t>
      </w:r>
      <w:r>
        <w:rPr>
          <w:sz w:val="28"/>
          <w:szCs w:val="28"/>
        </w:rPr>
        <w:lastRenderedPageBreak/>
        <w:t xml:space="preserve">текущем финансовом году на осуществление выплат, сокращающих долговые обязательства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Использование остатков субсидий, предоставленных на финансовое обеспечение выполнения муниципальных заданий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остатки субсидий, предоставленных муниципальным бюджетным и автономным учреждениям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финансовое обеспечение выполнения муниципальных заданий на оказание муниципальных услуг (выполнение работ), образовавшиеся в связи с не</w:t>
      </w:r>
      <w:r w:rsidR="009B58A7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достижением установленных муниципальным заданием показателей, характеризующих объем оказываемых муниципальных услуг (выполняемых работ), а так 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подлежат возврату в местный бюджет в объеме, соответствующем не достигнутым показателям муниципального задания указанными учреждениями.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Основы составления проекта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бюджета составляется в порядке и сроки, установленные администрацией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 основывается 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направлениях бюджетной и налоговой политики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прогнозе социально-экономического развития;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на долгосрочный период в случае, если 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принял решение о его формировании в соответствии с требованиями Бюджетного кодекса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программах.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утверждаются: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перечень главных администраторов доходов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главных администраторов источников финансирования дефицита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 структуры расходов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объем поступлений доходов в бюджет по кодам видов (подвидов) доходов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ведомственная структура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размер резервного фонда администрации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источники финансирования дефицита бюджета, перечень статей источников финансирования дефицита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верхние пределы муниципального внутреннего долга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муниципального внешнего долга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 наличии у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обязательств в иностранной валюте)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валюте Российской Федерации, муниципальным гарантиям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иностранной валюте (при наличии у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обязательств по муниципальным гарантиям в иностранной валюте);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иные показатели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Внесение проекта решения о местном бюджете на рассмотрение в Совет 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 на рассмотрение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 проект решения о местном бюджете не позднее 15 ноября текущего года и </w:t>
      </w:r>
      <w:r>
        <w:rPr>
          <w:sz w:val="28"/>
          <w:szCs w:val="28"/>
        </w:rPr>
        <w:lastRenderedPageBreak/>
        <w:t xml:space="preserve">одновременно направляет проект решения с пакетом документов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для подготовки заключения.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в течение 10 дней со дня получения проекта решения готовит заключение и направляет его в Совет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 о местном бюджете в Совет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истекший период текущего финансового года и ожидаемые итоги социально-экономического развития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за текущий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проекту решения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(или) верхний предел муниципального внешнего долга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состоянию на 1 января года, следующего за очередным финансовым годом;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ожидаемого исполнения местного бюджета на текущий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муниципальных программ;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источников доходов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органами муниципального финансового контроля, созданными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рассмотрения проекта решения о местном бюджете в Совете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организует и координирует процесс рассмотрения проекта решения о местном бюджете в комиссиях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Рассмотрение проекта решения о местном бюджете Советом </w:t>
      </w:r>
    </w:p>
    <w:p w:rsidR="00E25078" w:rsidRDefault="009B58A7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25078"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заключения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принимает решение о том, что проект решения о местном бюджете на очередной финансовый год и плановый период принимаются к рассмотрению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либо подлежит возвращению на доработку.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требованиям статей 10 и 11 настоящего Положения проект решения о местном бюджете на очередной финансовый год с мотивированным отказом в течение суток направляется в администрацию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доработки.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проект местного бюджета со всеми необходимыми документами и материалами должен быть представлен в 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пятидневный срок с момента возвращения.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проект решения о местном бюджете на очередной финансовый год и плановый период принимается к рассмотрению, председателем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двух дней проект направляется в депутатские комиссии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для рассмотрения.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в присутствии руководителей соответствующих отраслевых (функциональных) органов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рассматривают и дают заключения на проект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Поправки к проекту решения о местном бюджете направляются  комиссиями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комиссию по финансово-бюджетной и экономической политике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–Комиссия). Комиссия готовит сводное заключение на проект местного бюджета, согласовывает его с председателем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направляет в администрацию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сводного заключения представляет на рассмотрение в Совет, предложения о принятии или отклонении поправок к проекту решения о местном бюджете на очередной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решения о местном бюджете на очередной финансовый год Совет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заслушивает доклад главы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или уполномоченного им лица.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 о местном бюджете с приложениями направляется главе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подписания и опубликования.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местном бюджете вступает в силу с 1 января очередного финансового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 Публичные слушания по проекту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местного бюджета проводятся 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целях информирования и учета мнения жителей и органов местного самоуправления о параметрах местного бюджета на очередной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местного бюджета на очередной финансовый год проводятся в порядке, установленном Советом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Сроки утверждения решения о местном бюджете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последствия непринятия проекта решения о местном бюджете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 в срок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местном бюджете должно быть рассмотрено, утверждено 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подписано главой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и опубликовано до начала очередного финансового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местном бюджете.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решение о местном бюджете не вступило в силу с начала текущего финансового года, временное управления бюджетом осуществляется в порядке, установленном статьей 190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 Порядок внесения изменений в решение о местном бюджете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осуществляет непосредственное составление проекта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бюджет, а глава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 его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 Одновременно текст проекта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 направляется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представляется пояснительная записка с обоснованием прилагаемых изменений.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и дополнений в решение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 местном бюджете рассматривается в порядке, определенном регламентом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 Основы исполнения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местного бюджета обеспечивается 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исполнения бюджета возлагается на финансовый орган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Исполнение бюджета организуется на основе сводной бюджетной росписи местного бюджета и кассового плана.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казначейского обслуживания исполнения местного бюджета в Федеральном казначействе с учетом положений статьи 38.2 Бюджетного кодекса Российской Федерации открываются единый счет бюджета, через который осуществляются все операции по исполнению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 Лицевые счета для учета операций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местного бюджета производится на лицевых счетах, открываемых в Федеральном казначействе, за исключением случаев, установленных Бюджетным кодексом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Федеральном казначействе.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указанные в настоящем разделе,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ведение лицевых счетов в Федеральном казначействе, осуществляются в порядке, установленном соответственно Федеральным казначейством, в соответствии с общими требованиями, установленными Федеральным казначейством.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указанные в настоящей статье, открываются к соответствующим видам казначейских счетов, определенным статьей 242.14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 Дополнительные основания  для внесения изменений в сводную бюджетную роспись без внесения изменений в решение о бюджете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местного бюджета без внесения </w:t>
      </w:r>
      <w:r>
        <w:rPr>
          <w:sz w:val="28"/>
          <w:szCs w:val="28"/>
        </w:rPr>
        <w:lastRenderedPageBreak/>
        <w:t xml:space="preserve">изменений в решение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наименования главного распорядителя средств местного бюджета и (или) изменение системы органов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изменений в муниципальные программы (подпрограммы)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изменения объектов капитального строительства, объектов недвижимого имущества и (или) перераспределения объемов финансирования между  участниками муниципальной программы (подпрограммы), основными мероприятиями (мероприятиями), подпрограммами,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местного бюджета в установленном порядке в связи с указанным изменением и (или) перераспределением бюджетных ассигнований;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местного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устанавливающим соответствующее расходное обязательство;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для отражения расходов местного бюджета на реализацию местных и (или) региональных проектов, которые направлены на достижение соответствующих результатов реализации региональных и (или) федеральных проектов (программ) (далее – местные (региональные) проекты); для отражения расходов 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 местного бюджета, направляемых на выполнение </w:t>
      </w:r>
      <w:r>
        <w:rPr>
          <w:sz w:val="28"/>
          <w:szCs w:val="28"/>
        </w:rPr>
        <w:lastRenderedPageBreak/>
        <w:t xml:space="preserve">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 между главными распорядителями средств местного бюджета, разделами, подразделами, целевыми статьями или группами и подгруппами видов расходов классификации расходов бюджетов, предусмотренных главным распорядителям средств местного бюджета на предоставление грантов в форме субсидий, в том числе предоставляемых на конкурсной основе, в соответствии с пунктом 7 статьи 78, пунктом 4 статьи 78.1 Бюджетного кодекса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главному распорядителю средств местного бюджета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и муниципальных казенных учреждений</w:t>
      </w:r>
      <w:r w:rsidR="00EB49BC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главному распорядителю средств местного бюджета на финансовое обеспечение деятельности органов местного самоуправления, муниципальных казенных учреждений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 пределах объема бюджетных ассигнований по данным расходам;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расходам, на реализацию не включенных в муниципальные программы направлений деятельности органов местного самоуправления, предусмотренным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на реализацию местных (региональных) проектов, требующее соответствующего изменения кодов бюджетной классификации;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</w:t>
      </w:r>
      <w:r>
        <w:rPr>
          <w:sz w:val="28"/>
          <w:szCs w:val="28"/>
        </w:rPr>
        <w:lastRenderedPageBreak/>
        <w:t xml:space="preserve">объектами недвижимого имущества в пределах общего объема бюджетных ассигнований,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на реализацию муниципальной программы в целях обеспечения реализации местных (региональных) проектов,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источником финансового обеспечения которых частично являются средства краевого и (или) федерального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 Контроль за исполнением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местного бюджета осуществляется в соответствии с бюджетным законодательством: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ходе рассмотрения отдельных вопросов исполнения местного бюджета на своих заседаниях, заседаниях комитетов, комиссий, рабочих групп, в ходе проводимых представительным органом слушаний и в связи с депутатскими запросами;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внутреннего финансового контроля;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распорядителями, распорядителями средств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 Порядок составления годового отчета 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составляется финансовым органом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представляется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 Публичные слушания по годовому отчету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годовому отчету об исполнении местного бюджета проводятся 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до рассмотрения проекта решения об утверждении годового отчета </w:t>
      </w:r>
      <w:r>
        <w:rPr>
          <w:sz w:val="28"/>
          <w:szCs w:val="28"/>
        </w:rPr>
        <w:lastRenderedPageBreak/>
        <w:t xml:space="preserve">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им порядке.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 Внешняя проверка годового отчета 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до его рассмотрения в Совете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местного бюджета и подготовку заключения на годовой отчет об исполнении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бюджета не позднее 1 апреля текущего финансового года представляют годовую бюджетную отчетность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представляет отчет об исполнении местного бюджета и иные документы, подлежащие представлению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 отчетом,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для подготовки заключения на него не позднее 1 апреля текущего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</w:t>
      </w:r>
      <w:r w:rsidR="00EB49BC" w:rsidRPr="00EB49BC">
        <w:rPr>
          <w:sz w:val="28"/>
          <w:szCs w:val="28"/>
        </w:rPr>
        <w:t xml:space="preserve">Бураковского </w:t>
      </w:r>
      <w:r w:rsidRPr="00EB49BC">
        <w:rPr>
          <w:sz w:val="28"/>
          <w:szCs w:val="28"/>
        </w:rPr>
        <w:t>сельского поселения Кореновского района</w:t>
      </w:r>
      <w:r w:rsidRPr="00CA5B0B">
        <w:rPr>
          <w:sz w:val="28"/>
          <w:szCs w:val="28"/>
        </w:rPr>
        <w:t xml:space="preserve">, а также направляет его </w:t>
      </w:r>
      <w:r w:rsidR="00EB49BC" w:rsidRPr="00CA5B0B">
        <w:rPr>
          <w:sz w:val="28"/>
          <w:szCs w:val="28"/>
        </w:rPr>
        <w:t>Бураковского</w:t>
      </w:r>
      <w:r w:rsidRPr="00CA5B0B">
        <w:rPr>
          <w:sz w:val="28"/>
          <w:szCs w:val="28"/>
        </w:rPr>
        <w:t xml:space="preserve"> сельского поселения Кореновского района в  срок, не превышающий один месяц.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 Порядок представления годового отчета об исполнении местного бюджета на рассмотрение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не позднее 1 мая текущего года глава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представляет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годовой отчет об исполнении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годовым отчетом об исполнении местного бюджета в Совет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 и Контрольно-</w:t>
      </w:r>
      <w:r>
        <w:rPr>
          <w:sz w:val="28"/>
          <w:szCs w:val="28"/>
        </w:rPr>
        <w:lastRenderedPageBreak/>
        <w:t xml:space="preserve">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представляется: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об исполнении местного бюджета за отчетный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годовому отчету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разделам и подразделам классификации расходов бюджетов с указанием реквизитов правового акта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являющегося основанием для расходования бюджетных ассигнований резервного фонда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с указанием цели, размера выделенных средств и кассовых расходов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отчетный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местного бюджета (в части межбюджетных трансфертов) в разрезе межбюджетных трансфертов по поселениям;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остатках целевых и нецелевых средств местного бюджета, сложившихся на конец финансового года;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выданных муниципальных гарантиях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разрезе получателей;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 Порядок рассмотрения и утверждения годового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отчета об исполнении местного бюджета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годового отчета об исполнении местного бюджета Совет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заслушивает: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начальника финансового отдела администрации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годового отчета об исполнении местного бюджета Совет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принимает решение об утверждении либо отклонении проекта решения об исполнении местного бюджета за отчетный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Советом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утверждается решением Совета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 указанием общего объема доходов, расходов и дефицита (профицита)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местного бюджета по кодам классификации доходов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</w:p>
    <w:p w:rsidR="00E25078" w:rsidRDefault="00414126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Бураковского</w:t>
      </w:r>
      <w:r w:rsidR="00E25078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Кореновского района                                       </w:t>
      </w:r>
      <w:r w:rsidR="00414126">
        <w:rPr>
          <w:color w:val="000000"/>
          <w:spacing w:val="-1"/>
          <w:sz w:val="28"/>
          <w:szCs w:val="28"/>
        </w:rPr>
        <w:t xml:space="preserve">                            Л.И. Орлецкая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357321" w:rsidRDefault="00357321"/>
    <w:sectPr w:rsidR="00357321" w:rsidSect="00E25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3E"/>
    <w:rsid w:val="00357321"/>
    <w:rsid w:val="00362F3E"/>
    <w:rsid w:val="00414126"/>
    <w:rsid w:val="0081703B"/>
    <w:rsid w:val="009B58A7"/>
    <w:rsid w:val="00C6435B"/>
    <w:rsid w:val="00CA5B0B"/>
    <w:rsid w:val="00E25078"/>
    <w:rsid w:val="00EB49B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79C3-DC07-4099-A5DA-9AE60B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07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2507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0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250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2021-04-15T07:40:00Z</dcterms:created>
  <dcterms:modified xsi:type="dcterms:W3CDTF">2021-04-15T09:06:00Z</dcterms:modified>
</cp:coreProperties>
</file>