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Default="00B2463C" w:rsidP="00B2463C">
      <w:pPr>
        <w:jc w:val="center"/>
        <w:rPr>
          <w:sz w:val="36"/>
          <w:szCs w:val="36"/>
        </w:rPr>
      </w:pPr>
    </w:p>
    <w:p w:rsidR="00B2463C" w:rsidRDefault="00B2463C" w:rsidP="00B2463C">
      <w:pPr>
        <w:jc w:val="both"/>
        <w:rPr>
          <w:sz w:val="28"/>
          <w:szCs w:val="28"/>
        </w:rPr>
      </w:pPr>
    </w:p>
    <w:p w:rsidR="00B2463C" w:rsidRDefault="00B2463C" w:rsidP="00B2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470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2463C" w:rsidRDefault="00B2463C" w:rsidP="00B2463C">
      <w:pPr>
        <w:jc w:val="center"/>
        <w:rPr>
          <w:sz w:val="36"/>
          <w:szCs w:val="36"/>
        </w:rPr>
      </w:pPr>
    </w:p>
    <w:p w:rsidR="00B2463C" w:rsidRDefault="00B2463C" w:rsidP="00B24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27A63">
        <w:rPr>
          <w:b/>
          <w:sz w:val="32"/>
          <w:szCs w:val="32"/>
        </w:rPr>
        <w:t>/проект</w:t>
      </w:r>
      <w:bookmarkStart w:id="0" w:name="_GoBack"/>
      <w:bookmarkEnd w:id="0"/>
    </w:p>
    <w:p w:rsidR="00B2463C" w:rsidRDefault="00B2463C" w:rsidP="00B2463C">
      <w:pPr>
        <w:jc w:val="center"/>
        <w:rPr>
          <w:b/>
          <w:sz w:val="36"/>
          <w:szCs w:val="36"/>
        </w:rPr>
      </w:pPr>
    </w:p>
    <w:p w:rsidR="00B2463C" w:rsidRDefault="00B2463C" w:rsidP="00B246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</w:p>
    <w:p w:rsidR="00B2463C" w:rsidRDefault="00404707" w:rsidP="00B246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2463C" w:rsidRDefault="00B2463C" w:rsidP="00B2463C">
      <w:pPr>
        <w:jc w:val="center"/>
        <w:rPr>
          <w:sz w:val="24"/>
          <w:szCs w:val="24"/>
        </w:rPr>
      </w:pPr>
    </w:p>
    <w:p w:rsidR="00B2463C" w:rsidRDefault="00B2463C" w:rsidP="00B2463C">
      <w:pPr>
        <w:jc w:val="center"/>
        <w:rPr>
          <w:sz w:val="24"/>
          <w:szCs w:val="24"/>
        </w:rPr>
      </w:pPr>
    </w:p>
    <w:p w:rsidR="00B2463C" w:rsidRDefault="00B2463C" w:rsidP="00B2463C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</w:t>
      </w:r>
    </w:p>
    <w:p w:rsidR="00B2463C" w:rsidRDefault="00B2463C" w:rsidP="00B2463C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B2463C" w:rsidRDefault="00B2463C" w:rsidP="00404707">
      <w:pPr>
        <w:suppressAutoHyphens/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законом от 0</w:t>
      </w:r>
      <w:r w:rsidR="00404707">
        <w:rPr>
          <w:rFonts w:eastAsia="Arial"/>
          <w:color w:val="000000"/>
          <w:kern w:val="2"/>
          <w:sz w:val="28"/>
          <w:szCs w:val="28"/>
          <w:lang w:eastAsia="ar-SA"/>
        </w:rPr>
        <w:t xml:space="preserve">6 октября 2003 года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r w:rsidR="004047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                                                                                               </w:t>
      </w:r>
    </w:p>
    <w:p w:rsidR="00B2463C" w:rsidRDefault="00B2463C" w:rsidP="0040470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(прилагается).</w:t>
      </w:r>
    </w:p>
    <w:p w:rsidR="00B2463C" w:rsidRDefault="00B2463C" w:rsidP="0040470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) обнародовать настоящее постановление в установленных местах и разместить на официальном сайте о</w:t>
      </w:r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рганов местного самоуправления 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B2463C" w:rsidRDefault="00B2463C" w:rsidP="00B2463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3.  Постановление вступает в после его официального обнародования, но не ранее  01 марта 2022 года.   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707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2463C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2463C">
        <w:rPr>
          <w:sz w:val="28"/>
          <w:szCs w:val="28"/>
        </w:rPr>
        <w:t xml:space="preserve"> сельского поселения 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04707">
        <w:rPr>
          <w:sz w:val="28"/>
          <w:szCs w:val="28"/>
        </w:rPr>
        <w:t xml:space="preserve">                              </w:t>
      </w:r>
      <w:proofErr w:type="spellStart"/>
      <w:r w:rsidR="00404707">
        <w:rPr>
          <w:sz w:val="28"/>
          <w:szCs w:val="28"/>
        </w:rPr>
        <w:t>Л.И.Орлецкая</w:t>
      </w:r>
      <w:proofErr w:type="spellEnd"/>
    </w:p>
    <w:p w:rsidR="00404707" w:rsidRDefault="00404707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4707" w:rsidRDefault="00404707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2463C" w:rsidRDefault="00404707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B2463C">
        <w:rPr>
          <w:rFonts w:eastAsia="TimesNewRomanPSMT"/>
          <w:sz w:val="28"/>
          <w:szCs w:val="28"/>
        </w:rPr>
        <w:t xml:space="preserve"> сельского поселения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04707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2022 года   № 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</w:p>
    <w:p w:rsidR="00B2463C" w:rsidRDefault="00B2463C" w:rsidP="00B2463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ФОРМА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r>
        <w:rPr>
          <w:color w:val="000000"/>
          <w:kern w:val="2"/>
          <w:sz w:val="28"/>
          <w:szCs w:val="28"/>
          <w:lang w:val="en-US" w:eastAsia="ar-SA"/>
        </w:rPr>
        <w:t>QR</w:t>
      </w:r>
      <w:r>
        <w:rPr>
          <w:color w:val="000000"/>
          <w:kern w:val="2"/>
          <w:sz w:val="28"/>
          <w:szCs w:val="28"/>
          <w:lang w:eastAsia="ar-SA"/>
        </w:rPr>
        <w:t>-код, предусмотренный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постановлением Правительства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Российской Федерации от 16.04.2021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№ 604 «Об утверждении Правил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формирования и ведения единого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реестра контрольных (надзорных)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мероприятий и о внесении изменений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в постановление Правительства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Российской Федерации от 28.04.2015 </w:t>
      </w:r>
    </w:p>
    <w:p w:rsidR="00B2463C" w:rsidRDefault="00B2463C" w:rsidP="00B2463C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№ 415»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При использовании для просмотра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информации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QR</w:t>
      </w:r>
      <w:r>
        <w:rPr>
          <w:rFonts w:ascii="Times New Roman CYR" w:hAnsi="Times New Roman CYR" w:cs="Times New Roman CYR"/>
          <w:sz w:val="28"/>
          <w:szCs w:val="28"/>
        </w:rPr>
        <w:t xml:space="preserve">-кода сведения </w:t>
      </w:r>
    </w:p>
    <w:p w:rsidR="00B2463C" w:rsidRDefault="00B2463C" w:rsidP="00B2463C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отображаются без ограничений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доступа к ним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ПРОВЕРОЧНЫЙ ЛИСТ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муниципальный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контрольного органа: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Администрация </w:t>
      </w:r>
      <w:r w:rsidR="00404707">
        <w:rPr>
          <w:rFonts w:ascii="Times New Roman CYR" w:hAnsi="Times New Roman CYR" w:cs="Times New Roman CYR"/>
          <w:sz w:val="28"/>
          <w:szCs w:val="28"/>
          <w:u w:val="single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сельского поселения Кореновского района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Проверочный лист утвержден постановлением администрации </w:t>
      </w:r>
      <w:r w:rsidR="00404707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от ____________2022 года № ____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поселения»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контрольного мероприятия _______________________________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Дата заполнения проверочного листа 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контролируемом лице: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 и отчество (при наличии) гражданина или индивидуального предпринимателя 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регистрации гражданина или индивидуального предпринимателя 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юридического лица (его филиалов, представительств, обособленных структурных подразделений) 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Реквизиты решения контрольного органа о проведении контрольного мероприятия: 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Учетный номер контрольного мероприятия: 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Должность, фамилия и инициалы должностного лица, проводящего контрольное мероприятие и заполняющего проверочный лист:______________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2463C" w:rsidRDefault="00B2463C" w:rsidP="00B2463C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63"/>
        <w:gridCol w:w="3309"/>
        <w:gridCol w:w="445"/>
        <w:gridCol w:w="556"/>
        <w:gridCol w:w="1615"/>
      </w:tblGrid>
      <w:tr w:rsidR="00B2463C" w:rsidTr="00B246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№</w:t>
            </w:r>
          </w:p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Вопросы, отражающие</w:t>
            </w:r>
          </w:p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содержание обязательные требования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Ответы на вопросы</w:t>
            </w:r>
          </w:p>
        </w:tc>
      </w:tr>
      <w:tr w:rsidR="00B2463C" w:rsidTr="00B246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неприменимо</w:t>
            </w:r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 xml:space="preserve">статьи 16 -22, 25, 26 </w:t>
            </w:r>
            <w:r w:rsidRPr="00404707">
              <w:t xml:space="preserve">Федерального закона от 08.11.2007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глава 2-4 Приказа Минтранса России от 16.11.2012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lastRenderedPageBreak/>
              <w:t>№ 402 «Об утверждении Классификации работ по капитальному ремонту, ремонту и содержанию автомобильной дороги»,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подпункты </w:t>
            </w:r>
            <w:proofErr w:type="spellStart"/>
            <w:r w:rsidRPr="00404707">
              <w:rPr>
                <w:rStyle w:val="a4"/>
                <w:color w:val="auto"/>
              </w:rPr>
              <w:t>а,г,д</w:t>
            </w:r>
            <w:proofErr w:type="spellEnd"/>
            <w:r w:rsidRPr="00404707">
              <w:rPr>
                <w:rStyle w:val="a4"/>
                <w:color w:val="auto"/>
              </w:rPr>
              <w:t xml:space="preserve"> пункта 13.2, пункт 13.9 Технического регламента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от 18.10. 2011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№ 827</w:t>
            </w:r>
          </w:p>
          <w:p w:rsidR="00B2463C" w:rsidRDefault="00B2463C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статьи 16 -18, Федерального закона от 08.11.2007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глава 2-4 Приказа Минтранса России от 16.11.2012 </w:t>
            </w:r>
          </w:p>
          <w:p w:rsidR="00B2463C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>№ 402 «Об утверждении Классификации работ по капитальному ремонту, ремонту и содержанию автомобильной дороги»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применяемых дорожно-строительных материалов при 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глава 4-15 Свод правил СП 78.13330.2012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«СНиП 3.06.03-85. Автомобильные дороги»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Актуализированная редакция СНиП 3.06.03-85,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 xml:space="preserve">утверждена приказом Министерства регионального развития РФ от 30.06.2012 № 272, 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приложение № 1, № 2 к  Техническому регламента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lastRenderedPageBreak/>
              <w:t xml:space="preserve">от 18.10. 2011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№ 827</w:t>
            </w:r>
          </w:p>
          <w:p w:rsidR="00B2463C" w:rsidRPr="00404707" w:rsidRDefault="00B2463C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 xml:space="preserve">статьи 16-20, 25, 26 </w:t>
            </w:r>
            <w:r w:rsidRPr="00404707">
              <w:t xml:space="preserve">Федерального закона от 08.11.2007 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главы 4,5 Национальный стандарт РФ ГОСТ Р 52766-2007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«Дороги автомобильные общего пользования. Элементы обустройства. Общие требования»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утвержден приказом Федерального агентства по техническому регулированию и метрологии от 23.10.2007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 xml:space="preserve"> № 270-ст)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</w:tbl>
    <w:p w:rsidR="00B2463C" w:rsidRDefault="00B2463C" w:rsidP="00B2463C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Пояснения и дополнения к вопросам, содержащимся в списке: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лица (лиц) проводящего (проводящих) контрольное мероприятие: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bookmarkStart w:id="1" w:name="p_289"/>
      <w:bookmarkEnd w:id="1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проверочным листом ознакомлен(а):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                       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Копию проверочного листа получил(а):</w:t>
      </w:r>
      <w:r>
        <w:rPr>
          <w:sz w:val="24"/>
          <w:szCs w:val="24"/>
        </w:rPr>
        <w:t xml:space="preserve">                        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(подпись)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2463C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B2463C">
        <w:rPr>
          <w:sz w:val="28"/>
          <w:szCs w:val="28"/>
        </w:rPr>
        <w:t xml:space="preserve">сельского поселения 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04707">
        <w:rPr>
          <w:sz w:val="28"/>
          <w:szCs w:val="28"/>
        </w:rPr>
        <w:t xml:space="preserve">                           Л.И. Орлецкая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B2463C" w:rsidSect="00B24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9"/>
    <w:rsid w:val="00404707"/>
    <w:rsid w:val="009F1199"/>
    <w:rsid w:val="00B00ED2"/>
    <w:rsid w:val="00B2463C"/>
    <w:rsid w:val="00C27A63"/>
    <w:rsid w:val="00D324E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9A15-8AA7-4A60-BCCF-9BD641D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46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ый (таблица)"/>
    <w:basedOn w:val="a"/>
    <w:next w:val="a"/>
    <w:rsid w:val="00B2463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PreformattedText">
    <w:name w:val="Preformatted Text"/>
    <w:basedOn w:val="a"/>
    <w:rsid w:val="00B2463C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B2463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a4">
    <w:name w:val="Гипертекстовая ссылка"/>
    <w:rsid w:val="00B2463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2022-03-01T13:27:00Z</dcterms:created>
  <dcterms:modified xsi:type="dcterms:W3CDTF">2022-04-07T05:52:00Z</dcterms:modified>
</cp:coreProperties>
</file>