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5" w:rsidRDefault="00E35A65" w:rsidP="00E35A6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результатах мониторинга </w:t>
      </w:r>
      <w:proofErr w:type="spellStart"/>
      <w:r>
        <w:rPr>
          <w:rFonts w:ascii="Times New Roman" w:hAnsi="Times New Roman"/>
          <w:b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муниципальных нормативных правовых актов </w:t>
      </w:r>
      <w:proofErr w:type="spellStart"/>
      <w:r>
        <w:rPr>
          <w:rFonts w:ascii="Times New Roman" w:hAnsi="Times New Roman"/>
          <w:b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</w:t>
      </w:r>
      <w:r>
        <w:rPr>
          <w:rFonts w:ascii="Times New Roman" w:hAnsi="Times New Roman"/>
          <w:b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за 2022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20 мая 2011 года №657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постановлением Правительства Российской Федерации от 19 августа 2011 года № 694 «Об утверждении методики осуществления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Законом Краснодарского края от 07 ноября 2011 года № 2354-КЗ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правовых актов Краснодарского края»,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 июня 2015 № 46 «Об утверждении порядка проведения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E35A65">
        <w:rPr>
          <w:rFonts w:ascii="Times New Roman" w:hAnsi="Times New Roman"/>
          <w:sz w:val="28"/>
          <w:szCs w:val="28"/>
        </w:rPr>
        <w:t>от 30.12.202</w:t>
      </w:r>
      <w:r>
        <w:rPr>
          <w:rFonts w:ascii="Times New Roman" w:hAnsi="Times New Roman"/>
          <w:sz w:val="28"/>
          <w:szCs w:val="28"/>
        </w:rPr>
        <w:t>1</w:t>
      </w:r>
      <w:r w:rsidRPr="00E35A65">
        <w:rPr>
          <w:rFonts w:ascii="Times New Roman" w:hAnsi="Times New Roman"/>
          <w:sz w:val="28"/>
          <w:szCs w:val="28"/>
        </w:rPr>
        <w:t xml:space="preserve">  № 142 </w:t>
      </w:r>
      <w:r w:rsidRPr="00E35A65">
        <w:rPr>
          <w:rFonts w:ascii="Times New Roman" w:hAnsi="Times New Roman"/>
          <w:sz w:val="28"/>
          <w:szCs w:val="28"/>
        </w:rPr>
        <w:t xml:space="preserve">«Об утверждении плана мониторинга муниципальных правовых актов </w:t>
      </w:r>
      <w:proofErr w:type="spellStart"/>
      <w:r w:rsidRPr="00E35A65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E35A65">
        <w:rPr>
          <w:rFonts w:ascii="Times New Roman" w:hAnsi="Times New Roman"/>
          <w:sz w:val="28"/>
          <w:szCs w:val="28"/>
        </w:rPr>
        <w:t xml:space="preserve"> сельского посел</w:t>
      </w:r>
      <w:r w:rsidRPr="00E35A65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Pr="00E35A6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E35A65">
        <w:rPr>
          <w:rFonts w:ascii="Times New Roman" w:hAnsi="Times New Roman"/>
          <w:sz w:val="28"/>
          <w:szCs w:val="28"/>
        </w:rPr>
        <w:t xml:space="preserve"> района на 2022</w:t>
      </w:r>
      <w:r w:rsidRPr="00E35A65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 xml:space="preserve">осуществляется мониторинг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В процессе мониторинга использованы положения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постановлений Правительства Российской Федерации от 19.08.2011 № 684 «Об утверждении методики осуществления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Федерации». Мониторинг осуществляется в целях контроля за соблюдением и исполнением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противодействия коррупции, совершенствования нормотворческой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Мониторинг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включает в себя сбор, обобщение, анализ и оценку практики применения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На основании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</w:t>
      </w:r>
      <w:r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30.12.2021 № 142</w:t>
      </w:r>
      <w:r>
        <w:rPr>
          <w:rFonts w:ascii="Times New Roman" w:hAnsi="Times New Roman"/>
          <w:sz w:val="28"/>
          <w:szCs w:val="28"/>
        </w:rPr>
        <w:t xml:space="preserve"> «Об утверждении плана мониторинга муниципальных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2022</w:t>
      </w:r>
      <w:r>
        <w:rPr>
          <w:rFonts w:ascii="Times New Roman" w:hAnsi="Times New Roman"/>
          <w:sz w:val="28"/>
          <w:szCs w:val="28"/>
        </w:rPr>
        <w:t xml:space="preserve"> год» осуществлен текущий мониторинг </w:t>
      </w:r>
      <w:bookmarkStart w:id="0" w:name="_GoBack"/>
      <w:r w:rsidRPr="00E35A65">
        <w:rPr>
          <w:rFonts w:ascii="Times New Roman" w:hAnsi="Times New Roman"/>
          <w:sz w:val="28"/>
          <w:szCs w:val="28"/>
        </w:rPr>
        <w:t xml:space="preserve">9 нормативных правовых актов </w:t>
      </w:r>
      <w:proofErr w:type="spellStart"/>
      <w:r w:rsidRPr="00E35A65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Pr="00E35A6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35A65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E35A65">
        <w:rPr>
          <w:rFonts w:ascii="Times New Roman" w:hAnsi="Times New Roman"/>
          <w:sz w:val="28"/>
          <w:szCs w:val="28"/>
        </w:rPr>
        <w:t xml:space="preserve"> района. При осуществлении мониторинга для обеспечения принятия (издания), изменения или признания утратившими силу (отмены) нормативных правовых </w:t>
      </w:r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оценивается информация о практике их применения по следующим показателям: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несоблюдение гарантированных прав, свобод и законных интересов человека и гражданина;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наличие муниципальных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необходимость принятия (издания) которых предусмотрена актами большей юридической силы;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несоблюдение пределов компетенции органа при издании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наличие в нормативном правовом акте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неполнота в правовом регулировании общественных отношений;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коллизия норм права;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наличие ошибок юридико-технического характера;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использование положений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качестве оснований совершения юридически значимых действий;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искажение смысла положений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 его применении;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неправомерные или необоснованные решения, действия (бездействие) при применении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использование норм, позволяющих расширительно толковать компетенцию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наличие (отсутствие) единообразной практики применения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количество и содержание заявлений по вопросам разъяснения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 основания их принятия;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количество и содержание удовлетворенных обращений (предложений, заявлений, жалоб), связанных с применением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нарушениями единообразия его применения;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количество и характер зафиксированных правонарушений в сфере действия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количество случаев привлечения виновных лиц к ответственности.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антикоррупционной политики и устранения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при осуществлении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обобщается, анализируется и оценивается информация о практике их применения по следующим показателям: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несоблюдение пределов компетенции органа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 издании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неправомерные или необоснованные решения, действия (бездействие) при применении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наличие в нормативном правовом акте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наиболее часто встречающиеся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в нормативных правовых актах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количество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выявленных в нормативном правовом акте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 проведении антикоррупционной экспертизы уполномоченным органом;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количество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выявленных в нормативном правовом акте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 проведении антикоррупционной экспертизы независимыми экспертами;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сроки приведения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соответствии с антикоррупционным законодательством Российской Федерации;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количество и содержание обращений (предложений, заявлений, жалоб) о несоответствии нормативного правового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антикоррупционному законодательству Российской Федерации, в том числе о наличии в нормативном правовом акте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количество и характер зафиксированных правонарушений в сфере действия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также количество случаев привлечения виновных лиц к ответственности.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устранения противоречий между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равной юридической силы при осуществлении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обобщается, анализируется и оценивается информация о практике их применения по следующим показателям: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наличие противоречий между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общего характера и нормативными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специального характера, регулирующими однородные отношения;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наличие единой понятийно-терминологической системы в нормативных правовых актах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наличие дублирующих норм права в нормативных правовых актах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противоречий в нормативных правовых актах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регулирующих однородные отношения, принятых в разные периоды;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наличие ошибок юридико-технического характера в нормативных правовых актах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наличия в них дублирующих норм и противоречий, а также ошибок </w:t>
      </w:r>
      <w:proofErr w:type="spellStart"/>
      <w:r>
        <w:rPr>
          <w:rFonts w:ascii="Times New Roman" w:hAnsi="Times New Roman"/>
          <w:sz w:val="28"/>
          <w:szCs w:val="28"/>
        </w:rPr>
        <w:t>юридикотехнического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характера.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проведения мониторинга муниципальных нормативно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противоречий, недостатков,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факторов, свидетельствующие о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нормативно правовых актов, не выявлены. </w:t>
      </w:r>
    </w:p>
    <w:p w:rsidR="00E35A65" w:rsidRDefault="00E35A65" w:rsidP="00E35A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A65" w:rsidRDefault="00E35A65" w:rsidP="00E35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35A65" w:rsidRDefault="00E35A65" w:rsidP="00E35A6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35A65" w:rsidRDefault="00E35A65" w:rsidP="00E35A6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E35A65" w:rsidRDefault="00E35A65" w:rsidP="00E35A65"/>
    <w:p w:rsidR="00E35A65" w:rsidRDefault="00E35A65" w:rsidP="00E35A65"/>
    <w:p w:rsidR="00BE00DB" w:rsidRDefault="00BE00DB"/>
    <w:sectPr w:rsidR="00BE00DB" w:rsidSect="00E35A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F7"/>
    <w:rsid w:val="00393426"/>
    <w:rsid w:val="00771AC5"/>
    <w:rsid w:val="007D2FFF"/>
    <w:rsid w:val="0092136C"/>
    <w:rsid w:val="00B258F7"/>
    <w:rsid w:val="00BE00DB"/>
    <w:rsid w:val="00E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5F7C2-5E38-4B66-A3A8-70382180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6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2023-09-06T08:37:00Z</dcterms:created>
  <dcterms:modified xsi:type="dcterms:W3CDTF">2023-09-06T08:45:00Z</dcterms:modified>
</cp:coreProperties>
</file>