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F6" w:rsidRDefault="004262F6" w:rsidP="004262F6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F6" w:rsidRDefault="004262F6" w:rsidP="004262F6">
      <w:pPr>
        <w:jc w:val="center"/>
        <w:rPr>
          <w:sz w:val="28"/>
          <w:szCs w:val="28"/>
        </w:rPr>
      </w:pPr>
    </w:p>
    <w:p w:rsidR="004262F6" w:rsidRDefault="004262F6" w:rsidP="00426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БУРАКОВСКОГО СЕЛЬСКОГО ПОСЕЛЕНИЯ КОРЕНОВСКОГО РАЙОНА</w:t>
      </w:r>
    </w:p>
    <w:p w:rsidR="004262F6" w:rsidRDefault="004262F6" w:rsidP="004262F6">
      <w:pPr>
        <w:jc w:val="center"/>
        <w:rPr>
          <w:sz w:val="36"/>
          <w:szCs w:val="36"/>
        </w:rPr>
      </w:pPr>
    </w:p>
    <w:p w:rsidR="004262F6" w:rsidRDefault="004262F6" w:rsidP="00426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>/проект</w:t>
      </w:r>
    </w:p>
    <w:p w:rsidR="004262F6" w:rsidRDefault="004262F6" w:rsidP="004262F6">
      <w:pPr>
        <w:jc w:val="center"/>
        <w:rPr>
          <w:b/>
          <w:sz w:val="36"/>
          <w:szCs w:val="36"/>
        </w:rPr>
      </w:pPr>
    </w:p>
    <w:p w:rsidR="004262F6" w:rsidRDefault="004262F6" w:rsidP="004262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00</w:t>
      </w:r>
      <w:r>
        <w:rPr>
          <w:b/>
          <w:sz w:val="24"/>
          <w:szCs w:val="24"/>
        </w:rPr>
        <w:t xml:space="preserve">.03.2024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№ 00</w:t>
      </w:r>
    </w:p>
    <w:p w:rsidR="004262F6" w:rsidRDefault="004262F6" w:rsidP="004262F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х.Бураковский</w:t>
      </w:r>
      <w:proofErr w:type="spellEnd"/>
    </w:p>
    <w:p w:rsidR="004262F6" w:rsidRDefault="004262F6" w:rsidP="004262F6">
      <w:pPr>
        <w:jc w:val="center"/>
        <w:rPr>
          <w:sz w:val="24"/>
          <w:szCs w:val="24"/>
        </w:rPr>
      </w:pPr>
    </w:p>
    <w:p w:rsidR="004262F6" w:rsidRDefault="004262F6" w:rsidP="004262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proofErr w:type="spellStart"/>
      <w:r>
        <w:rPr>
          <w:b/>
          <w:sz w:val="28"/>
          <w:szCs w:val="28"/>
        </w:rPr>
        <w:t>Бураковского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 к совершению коррупционных правонарушений</w:t>
      </w:r>
    </w:p>
    <w:p w:rsidR="004262F6" w:rsidRDefault="004262F6" w:rsidP="004262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2F6" w:rsidRDefault="004262F6" w:rsidP="004262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2F6" w:rsidRDefault="004262F6" w:rsidP="00426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9 Федерального закона от 25 декабря 2008 года № 273-ФЗ «О противодействии коррупции», в целях повышения эффективности мер по противодействию коррупции в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4262F6" w:rsidRDefault="004262F6" w:rsidP="004262F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к совершению коррупционных правонарушений (прилагается).</w:t>
      </w:r>
    </w:p>
    <w:p w:rsidR="004262F6" w:rsidRDefault="004262F6" w:rsidP="004262F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по приему, регистрации и учету уведомлений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к совершению коррупционных правонарушений возложить на общий </w:t>
      </w:r>
      <w:proofErr w:type="gramStart"/>
      <w:r>
        <w:rPr>
          <w:sz w:val="28"/>
          <w:szCs w:val="28"/>
        </w:rPr>
        <w:t>отдел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Абрамкина</w:t>
      </w:r>
      <w:proofErr w:type="spellEnd"/>
      <w:r>
        <w:rPr>
          <w:sz w:val="28"/>
          <w:szCs w:val="28"/>
        </w:rPr>
        <w:t>).</w:t>
      </w:r>
    </w:p>
    <w:p w:rsidR="004262F6" w:rsidRDefault="004262F6" w:rsidP="004262F6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21 августа 2015 года № 112 «Об утверждении Порядка уведомления представителя нанимателя (работодателя) о фактах обращения в целях склонения </w:t>
      </w:r>
      <w:proofErr w:type="gramStart"/>
      <w:r>
        <w:rPr>
          <w:sz w:val="28"/>
          <w:szCs w:val="28"/>
        </w:rPr>
        <w:t>муниципального  служащего</w:t>
      </w:r>
      <w:proofErr w:type="gramEnd"/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к совершению коррупционных правонарушений».</w:t>
      </w:r>
    </w:p>
    <w:p w:rsidR="004262F6" w:rsidRDefault="004262F6" w:rsidP="004262F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3.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>
        <w:rPr>
          <w:rFonts w:eastAsia="DejaVuSans"/>
          <w:kern w:val="2"/>
          <w:sz w:val="28"/>
          <w:szCs w:val="28"/>
          <w:shd w:val="clear" w:color="auto" w:fill="FFFFFF"/>
        </w:rPr>
        <w:t>Бураковского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eastAsia="DejaVuSans"/>
          <w:kern w:val="2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района (</w:t>
      </w:r>
      <w:proofErr w:type="spellStart"/>
      <w:r>
        <w:rPr>
          <w:rFonts w:eastAsia="DejaVuSans"/>
          <w:kern w:val="2"/>
          <w:sz w:val="28"/>
          <w:szCs w:val="28"/>
          <w:shd w:val="clear" w:color="auto" w:fill="FFFFFF"/>
        </w:rPr>
        <w:t>Абрамкина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) опубликовать настоящее постановление и </w:t>
      </w:r>
      <w:r>
        <w:rPr>
          <w:rFonts w:eastAsia="DejaVuSans"/>
          <w:kern w:val="2"/>
          <w:sz w:val="28"/>
          <w:szCs w:val="28"/>
          <w:shd w:val="clear" w:color="auto" w:fill="FFFFFF"/>
        </w:rPr>
        <w:lastRenderedPageBreak/>
        <w:t xml:space="preserve">разместить его на официальном сайте органов местного самоуправления </w:t>
      </w:r>
      <w:proofErr w:type="spellStart"/>
      <w:r>
        <w:rPr>
          <w:rFonts w:eastAsia="DejaVuSans"/>
          <w:kern w:val="2"/>
          <w:sz w:val="28"/>
          <w:szCs w:val="28"/>
          <w:shd w:val="clear" w:color="auto" w:fill="FFFFFF"/>
        </w:rPr>
        <w:t>Бураковского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eastAsia="DejaVuSans"/>
          <w:kern w:val="2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района в сети «Интернет».</w:t>
      </w:r>
    </w:p>
    <w:p w:rsidR="004262F6" w:rsidRDefault="004262F6" w:rsidP="004262F6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Постановление вступает после его официального опубликования.</w:t>
      </w:r>
    </w:p>
    <w:p w:rsidR="004262F6" w:rsidRDefault="004262F6" w:rsidP="004262F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4262F6" w:rsidRDefault="004262F6" w:rsidP="004262F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4262F6" w:rsidRDefault="004262F6" w:rsidP="004262F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Б сельского поселения </w:t>
      </w:r>
    </w:p>
    <w:p w:rsidR="004262F6" w:rsidRDefault="004262F6" w:rsidP="00426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Л.И. </w:t>
      </w:r>
      <w:proofErr w:type="spellStart"/>
      <w:r>
        <w:rPr>
          <w:sz w:val="28"/>
          <w:szCs w:val="28"/>
        </w:rPr>
        <w:t>Орлецкая</w:t>
      </w:r>
      <w:proofErr w:type="spellEnd"/>
    </w:p>
    <w:p w:rsidR="004262F6" w:rsidRDefault="004262F6" w:rsidP="004262F6">
      <w:pPr>
        <w:rPr>
          <w:sz w:val="28"/>
          <w:szCs w:val="28"/>
        </w:rPr>
        <w:sectPr w:rsidR="004262F6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4262F6" w:rsidTr="004262F6">
        <w:tc>
          <w:tcPr>
            <w:tcW w:w="2500" w:type="pct"/>
          </w:tcPr>
          <w:p w:rsidR="004262F6" w:rsidRDefault="004262F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4262F6" w:rsidRDefault="004262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4262F6" w:rsidRDefault="004262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62F6" w:rsidRDefault="004262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4262F6" w:rsidRDefault="004262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4262F6" w:rsidRDefault="004262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Бураковского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262F6" w:rsidRDefault="004262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Кореновского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4262F6" w:rsidRDefault="004262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00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.03.2024 №00</w:t>
            </w:r>
          </w:p>
        </w:tc>
      </w:tr>
    </w:tbl>
    <w:p w:rsidR="004262F6" w:rsidRDefault="004262F6" w:rsidP="004262F6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262F6" w:rsidRDefault="004262F6" w:rsidP="004262F6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 xml:space="preserve">ПОРЯДОК </w:t>
      </w:r>
    </w:p>
    <w:p w:rsidR="004262F6" w:rsidRDefault="004262F6" w:rsidP="004262F6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proofErr w:type="spellStart"/>
      <w:r>
        <w:rPr>
          <w:b/>
          <w:kern w:val="3"/>
          <w:sz w:val="28"/>
          <w:szCs w:val="28"/>
        </w:rPr>
        <w:t>Бураковского</w:t>
      </w:r>
      <w:proofErr w:type="spellEnd"/>
      <w:r>
        <w:rPr>
          <w:b/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b/>
          <w:kern w:val="3"/>
          <w:sz w:val="28"/>
          <w:szCs w:val="28"/>
        </w:rPr>
        <w:t>Кореновского</w:t>
      </w:r>
      <w:proofErr w:type="spellEnd"/>
      <w:r>
        <w:rPr>
          <w:b/>
          <w:kern w:val="3"/>
          <w:sz w:val="28"/>
          <w:szCs w:val="28"/>
        </w:rPr>
        <w:t xml:space="preserve"> района к совершению коррупционных правонарушений</w:t>
      </w:r>
    </w:p>
    <w:p w:rsidR="004262F6" w:rsidRDefault="004262F6" w:rsidP="004262F6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1. Общие положения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1.1. Настоящий Порядок разработан в соответствии с </w:t>
      </w:r>
      <w:hyperlink r:id="rId6" w:history="1">
        <w:r>
          <w:rPr>
            <w:rStyle w:val="a3"/>
            <w:color w:val="auto"/>
            <w:kern w:val="3"/>
            <w:sz w:val="28"/>
            <w:szCs w:val="28"/>
            <w:u w:val="none"/>
          </w:rPr>
          <w:t>частью 5 статьи 9</w:t>
        </w:r>
      </w:hyperlink>
      <w:r>
        <w:rPr>
          <w:kern w:val="3"/>
          <w:sz w:val="28"/>
          <w:szCs w:val="28"/>
        </w:rPr>
        <w:t xml:space="preserve"> Федерального закона от 25 декабря 2008 года № 273-ФЗ «О противодействии коррупции» и устанавливает процедуру уведомления муниципальными служащими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 (далее - муниципальные служащие) представителя нанимателя (работодателя), органы прокуратуры и другие государственные органы о фактах обращения к ним каких-либо лиц в целях склонения их к совершению коррупционных правонарушений, а также перечень сведений,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1.2. Согласно статье 1 Федерального закона «О противодействии коррупции» коррупцией являются: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б) совершение деяний, указанных в подпункте «а» настоящего пункта, от имени или в интересах юридического лица.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соответствии с </w:t>
      </w:r>
      <w:hyperlink r:id="rId7" w:history="1">
        <w:r>
          <w:rPr>
            <w:rStyle w:val="a3"/>
            <w:color w:val="auto"/>
            <w:kern w:val="3"/>
            <w:sz w:val="28"/>
            <w:szCs w:val="28"/>
            <w:u w:val="none"/>
          </w:rPr>
          <w:t>Федеральным законом</w:t>
        </w:r>
      </w:hyperlink>
      <w:r>
        <w:rPr>
          <w:kern w:val="3"/>
          <w:sz w:val="28"/>
          <w:szCs w:val="28"/>
        </w:rPr>
        <w:t xml:space="preserve"> от 2 марта 2007 года № 25-ФЗ «О </w:t>
      </w:r>
      <w:r>
        <w:rPr>
          <w:kern w:val="3"/>
          <w:sz w:val="28"/>
          <w:szCs w:val="28"/>
        </w:rPr>
        <w:lastRenderedPageBreak/>
        <w:t>муниципальной службе в Российской Федерации» либо привлечение его к иным видам ответственности в соответствии с законодательством Российской Федерации.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Муниципальный служащий обо всех случаях обращения к нему каких-либо лиц в целях склонения его к совершению коррупционных правонарушений уведомляет органы прокуратуры и другие государственные органы, о чем одновременно сообщает об этом, в том числе с указанием содержания уведомления, представителю нанимателя (работодателю).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2. Уведомление представителя нанимателя (работодателя).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Регистрация уведомлений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2.1. Муниципальный служащий обязан в тот же день уведомить представителя нанимателя (работодателя) об обращении к нему каких-либо лиц в целях склонения его к совершению коррупционных правонарушений.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Муниципальный служащий, которому стало известно о факте обращения к иному муниципальному служащему в связи с исполнением им должностных обязанностей каких-либо лиц в целях склонения его к совершению коррупционных правонарушений, вправе уведомить об этом представителя нанимателя (работодателя), с соблюдением процедуры, определенной настоящим Порядком.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2.2. 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№ 1 к настоящему Порядку путем передачи его в общий отдел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 (далее-уполномоченный орган).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2.3. Перечень сведений, подлежащих отражению в уведомлении, должен содержать: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1) фамилию, имя, отчество, замещаемую должность, место жительства и контактный телефон лица, направившего уведомление;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2) фамилию, имя, отчество, должность лица, к которому обратились в целях склонения к совершению коррупционного правонарушения;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3) фамилию, имя, отчество, должность лица, в чьих интересах обратились к муниципальному служащему в целях склонения его к совершению коррупционного правонарушения;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4) сущность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>
        <w:rPr>
          <w:kern w:val="3"/>
          <w:sz w:val="28"/>
          <w:szCs w:val="28"/>
        </w:rP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вышеперечисленных деяний, от имени или в интересах юридического лица);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5) подробное описание события склонения муниципального служащего к совершению коррупционного правонарушения: способ склонения к совершению коррупционного правонарушения (подкуп, угроза, обещание, обман, насилие и т.д.), время, дата, место склонения к совершению коррупционного правонарушения, обстоятельства склонения к совершению коррупционного правонарушения (телефонный разговор, личная встреча, почтовое отправление и т.д.);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6) сведения об уведомлении муниципальным служащим органы прокуратуры и другие государственные органы о фактах обращения в целях склонения его к совершению коррупционных правонарушений (наименование органа, дата и способ направления уведомления, краткое содержание уведомления).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7) дата и подпись муниципального служащего, заполнившего уведомление, и расшифровка подписи.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2.4. Уполномоченный орган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Уполномоченный орган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2.5. Отказ в регистрации уведомления не допускается.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2.6. Уведомления регистрируются в журнале по форме согласно Приложению №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lastRenderedPageBreak/>
        <w:t>2.7. После регистрации уведомления уполномоченный орган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 Организация проверки сведений, содержащихся в уведомлении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3.2. Организацию проверки сведений, содержащихся в уведомлении муниципального служащего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района, по поручению представителя нанимателя (работодателя) осуществляет сектор профилактики коррупционных правонарушений правового управления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района, во взаимодействии, при необходимости, с другими отраслевыми (функциональными) органами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района, на основании распоряжения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3.3. Проверка проводится в течение семи рабочих дней с момента регистрации уведомления.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3.5. При осуществлении проверки должностное лицо уполномоченного органа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3.7. По окончании проверки должностное лицо знакомит муниципального служащего, передавшего или направившего уведомление, с ее результатами под роспись в журнале регистрации уведомлений.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3.8. При принятии представителем нанимателя (работодателем) решения о направлении уведомления в органы, предусмотренные пунктом </w:t>
      </w:r>
      <w:proofErr w:type="gramStart"/>
      <w:r>
        <w:rPr>
          <w:kern w:val="3"/>
          <w:sz w:val="28"/>
          <w:szCs w:val="28"/>
        </w:rPr>
        <w:t>3.6.,</w:t>
      </w:r>
      <w:proofErr w:type="gramEnd"/>
      <w:r>
        <w:rPr>
          <w:kern w:val="3"/>
          <w:sz w:val="28"/>
          <w:szCs w:val="28"/>
        </w:rPr>
        <w:t xml:space="preserve"> отправка осуществляется не позднее 10 рабочих дней с даты регистрации уведомления в журнале.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4. Гарантии, представляемые муниципальному служащему в связи с уведомлением представителя нанимателя (работодателя), органы прокуратуры и другие государственные органы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4.1. 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законодательством Российской Федерации.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муниципальным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В случае привлечения муниципального служащего, подавшего уведомление, к дисциплинарной ответственности,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rPr>
          <w:kern w:val="3"/>
          <w:sz w:val="28"/>
          <w:szCs w:val="28"/>
        </w:rPr>
        <w:t>Бураковского</w:t>
      </w:r>
      <w:proofErr w:type="spellEnd"/>
      <w:r>
        <w:rPr>
          <w:kern w:val="3"/>
          <w:sz w:val="28"/>
          <w:szCs w:val="28"/>
        </w:rPr>
        <w:t xml:space="preserve"> сельского поселения </w:t>
      </w:r>
      <w:proofErr w:type="spellStart"/>
      <w:r>
        <w:rPr>
          <w:kern w:val="3"/>
          <w:sz w:val="28"/>
          <w:szCs w:val="28"/>
        </w:rPr>
        <w:t>Кореновского</w:t>
      </w:r>
      <w:proofErr w:type="spellEnd"/>
      <w:r>
        <w:rPr>
          <w:kern w:val="3"/>
          <w:sz w:val="28"/>
          <w:szCs w:val="28"/>
        </w:rPr>
        <w:t xml:space="preserve"> района.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62F6" w:rsidRDefault="004262F6" w:rsidP="00426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262F6" w:rsidRDefault="004262F6" w:rsidP="00426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Л.И. </w:t>
      </w:r>
      <w:proofErr w:type="spellStart"/>
      <w:r>
        <w:rPr>
          <w:sz w:val="28"/>
          <w:szCs w:val="28"/>
        </w:rPr>
        <w:t>Орлецкая</w:t>
      </w:r>
      <w:proofErr w:type="spellEnd"/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4262F6" w:rsidTr="004262F6">
        <w:tc>
          <w:tcPr>
            <w:tcW w:w="2500" w:type="pct"/>
          </w:tcPr>
          <w:p w:rsidR="004262F6" w:rsidRDefault="004262F6">
            <w:pPr>
              <w:spacing w:line="254" w:lineRule="auto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4262F6" w:rsidRDefault="004262F6">
            <w:pPr>
              <w:spacing w:line="254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ПРИЛОЖЕНИЕ № 1</w:t>
            </w:r>
          </w:p>
          <w:p w:rsidR="004262F6" w:rsidRDefault="004262F6">
            <w:pPr>
              <w:spacing w:line="254" w:lineRule="auto"/>
              <w:jc w:val="center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к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 xml:space="preserve">Порядку  </w:t>
            </w:r>
            <w:r>
              <w:rPr>
                <w:kern w:val="3"/>
                <w:sz w:val="28"/>
                <w:szCs w:val="28"/>
                <w:lang w:eastAsia="en-US"/>
              </w:rPr>
              <w:t>уведомления</w:t>
            </w:r>
            <w:proofErr w:type="gramEnd"/>
            <w:r>
              <w:rPr>
                <w:kern w:val="3"/>
                <w:sz w:val="28"/>
                <w:szCs w:val="28"/>
                <w:lang w:eastAsia="en-US"/>
              </w:rPr>
              <w:t xml:space="preserve">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      </w:r>
            <w:proofErr w:type="spellStart"/>
            <w:r>
              <w:rPr>
                <w:kern w:val="3"/>
                <w:sz w:val="28"/>
                <w:szCs w:val="28"/>
                <w:lang w:eastAsia="en-US"/>
              </w:rPr>
              <w:t>Бураковского</w:t>
            </w:r>
            <w:proofErr w:type="spellEnd"/>
            <w:r>
              <w:rPr>
                <w:kern w:val="3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kern w:val="3"/>
                <w:sz w:val="28"/>
                <w:szCs w:val="28"/>
                <w:lang w:eastAsia="en-US"/>
              </w:rPr>
              <w:t>Кореновского</w:t>
            </w:r>
            <w:proofErr w:type="spellEnd"/>
            <w:r>
              <w:rPr>
                <w:kern w:val="3"/>
                <w:sz w:val="28"/>
                <w:szCs w:val="28"/>
                <w:lang w:eastAsia="en-US"/>
              </w:rPr>
              <w:t xml:space="preserve"> района к совершению коррупционных правонарушений</w:t>
            </w:r>
          </w:p>
          <w:p w:rsidR="004262F6" w:rsidRDefault="004262F6">
            <w:pPr>
              <w:spacing w:line="254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4262F6" w:rsidRDefault="004262F6" w:rsidP="004262F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Главе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(Ф.И.О.)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(Ф.И.О. муниципального служащего,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должность) </w:t>
      </w: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Уведомляю о факте обращения в целях склонения меня к коррупционному правонарушению (далее- склонение к правонарушению) со стороны ____________________________________________________________________________________________________________________________________________________________________________________________________________</w:t>
      </w:r>
    </w:p>
    <w:p w:rsidR="004262F6" w:rsidRDefault="004262F6" w:rsidP="004262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4262F6" w:rsidRDefault="004262F6" w:rsidP="004262F6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в целях осуществления мною _______________________________________________________________</w:t>
      </w:r>
    </w:p>
    <w:p w:rsidR="004262F6" w:rsidRDefault="004262F6" w:rsidP="004262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62F6" w:rsidRDefault="004262F6" w:rsidP="004262F6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сущность предполагаемого правонарушения)</w:t>
      </w:r>
    </w:p>
    <w:p w:rsidR="004262F6" w:rsidRDefault="004262F6" w:rsidP="004262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осуществляется посредством ___________</w:t>
      </w:r>
    </w:p>
    <w:p w:rsidR="004262F6" w:rsidRDefault="004262F6" w:rsidP="004262F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62F6" w:rsidRDefault="004262F6" w:rsidP="004262F6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(способ склонения: подкуп, угроза, обман и т.д.)</w:t>
      </w:r>
    </w:p>
    <w:p w:rsidR="004262F6" w:rsidRDefault="004262F6" w:rsidP="004262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произошло в _______ч. ___________м.,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_________20___ в г. __________________________________________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(город, адрес)</w:t>
      </w:r>
    </w:p>
    <w:p w:rsidR="004262F6" w:rsidRDefault="004262F6" w:rsidP="004262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Склонение к правонарушению производилось _______________________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______________________     __________________  _______________________</w:t>
      </w: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 xml:space="preserve">(дата заполнения </w:t>
      </w:r>
      <w:proofErr w:type="gramStart"/>
      <w:r>
        <w:rPr>
          <w:sz w:val="28"/>
          <w:szCs w:val="28"/>
        </w:rPr>
        <w:t xml:space="preserve">уведомления)   </w:t>
      </w:r>
      <w:proofErr w:type="gramEnd"/>
      <w:r>
        <w:rPr>
          <w:sz w:val="28"/>
          <w:szCs w:val="28"/>
        </w:rPr>
        <w:t xml:space="preserve"> (подпись)                 (расшифровка подписи)</w:t>
      </w: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62F6" w:rsidRDefault="004262F6" w:rsidP="00426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262F6" w:rsidRDefault="004262F6" w:rsidP="00426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Л.И. </w:t>
      </w:r>
      <w:proofErr w:type="spellStart"/>
      <w:r>
        <w:rPr>
          <w:sz w:val="28"/>
          <w:szCs w:val="28"/>
        </w:rPr>
        <w:t>Орлецкая</w:t>
      </w:r>
      <w:proofErr w:type="spellEnd"/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4262F6" w:rsidTr="004262F6">
        <w:tc>
          <w:tcPr>
            <w:tcW w:w="2500" w:type="pct"/>
          </w:tcPr>
          <w:p w:rsidR="004262F6" w:rsidRDefault="004262F6">
            <w:pPr>
              <w:spacing w:line="254" w:lineRule="auto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4262F6" w:rsidRDefault="004262F6">
            <w:pPr>
              <w:spacing w:line="254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ПРИЛОЖЕНИЕ № 2</w:t>
            </w:r>
          </w:p>
          <w:p w:rsidR="004262F6" w:rsidRDefault="004262F6">
            <w:pPr>
              <w:spacing w:line="254" w:lineRule="auto"/>
              <w:jc w:val="center"/>
              <w:rPr>
                <w:kern w:val="3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к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 xml:space="preserve">Порядку  </w:t>
            </w:r>
            <w:r>
              <w:rPr>
                <w:kern w:val="3"/>
                <w:sz w:val="28"/>
                <w:szCs w:val="28"/>
                <w:lang w:eastAsia="en-US"/>
              </w:rPr>
              <w:t>уведомления</w:t>
            </w:r>
            <w:proofErr w:type="gramEnd"/>
            <w:r>
              <w:rPr>
                <w:kern w:val="3"/>
                <w:sz w:val="28"/>
                <w:szCs w:val="28"/>
                <w:lang w:eastAsia="en-US"/>
              </w:rPr>
              <w:t xml:space="preserve">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      </w:r>
            <w:proofErr w:type="spellStart"/>
            <w:r>
              <w:rPr>
                <w:kern w:val="3"/>
                <w:sz w:val="28"/>
                <w:szCs w:val="28"/>
                <w:lang w:eastAsia="en-US"/>
              </w:rPr>
              <w:t>Бураковского</w:t>
            </w:r>
            <w:proofErr w:type="spellEnd"/>
            <w:r>
              <w:rPr>
                <w:kern w:val="3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kern w:val="3"/>
                <w:sz w:val="28"/>
                <w:szCs w:val="28"/>
                <w:lang w:eastAsia="en-US"/>
              </w:rPr>
              <w:t>Кореновского</w:t>
            </w:r>
            <w:proofErr w:type="spellEnd"/>
            <w:r>
              <w:rPr>
                <w:kern w:val="3"/>
                <w:sz w:val="28"/>
                <w:szCs w:val="28"/>
                <w:lang w:eastAsia="en-US"/>
              </w:rPr>
              <w:t xml:space="preserve"> района к совершению коррупционных правонарушений</w:t>
            </w:r>
          </w:p>
          <w:p w:rsidR="004262F6" w:rsidRDefault="004262F6">
            <w:pPr>
              <w:spacing w:line="254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keepNext/>
        <w:suppressAutoHyphens/>
        <w:overflowPunct w:val="0"/>
        <w:autoSpaceDE w:val="0"/>
        <w:autoSpaceDN w:val="0"/>
        <w:spacing w:before="24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>Журнал регистрации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4262F6" w:rsidRDefault="004262F6" w:rsidP="004262F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417"/>
        <w:gridCol w:w="1418"/>
        <w:gridCol w:w="1417"/>
        <w:gridCol w:w="1418"/>
        <w:gridCol w:w="992"/>
        <w:gridCol w:w="1208"/>
        <w:gridCol w:w="1040"/>
      </w:tblGrid>
      <w:tr w:rsidR="004262F6" w:rsidTr="004262F6">
        <w:trPr>
          <w:trHeight w:val="212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Дата принятия уведомления на регистрацию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Ф.И.О. и подпись лица, подавшего уведомление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Ф.И.О. и подпись лица, принявшего уведомление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Краткая информация о сведениях, указанных в уведомлении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Дата передачи уведомления руководителю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Сведения о принятом решении (дата и резолюция)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Особые отметки</w:t>
            </w:r>
          </w:p>
        </w:tc>
      </w:tr>
      <w:tr w:rsidR="004262F6" w:rsidTr="004262F6">
        <w:trPr>
          <w:trHeight w:val="249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567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  <w:r>
              <w:rPr>
                <w:kern w:val="3"/>
                <w:sz w:val="24"/>
                <w:szCs w:val="22"/>
                <w:lang w:eastAsia="en-US"/>
              </w:rPr>
              <w:t>8</w:t>
            </w:r>
          </w:p>
        </w:tc>
      </w:tr>
      <w:tr w:rsidR="004262F6" w:rsidTr="004262F6">
        <w:trPr>
          <w:trHeight w:val="265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62F6" w:rsidRDefault="004262F6">
            <w:pPr>
              <w:suppressAutoHyphens/>
              <w:overflowPunct w:val="0"/>
              <w:autoSpaceDE w:val="0"/>
              <w:autoSpaceDN w:val="0"/>
              <w:spacing w:line="254" w:lineRule="auto"/>
              <w:ind w:firstLine="720"/>
              <w:jc w:val="both"/>
              <w:textAlignment w:val="baseline"/>
              <w:rPr>
                <w:kern w:val="3"/>
                <w:sz w:val="24"/>
                <w:szCs w:val="22"/>
                <w:lang w:eastAsia="en-US"/>
              </w:rPr>
            </w:pPr>
          </w:p>
        </w:tc>
      </w:tr>
    </w:tbl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</w:p>
    <w:p w:rsidR="004262F6" w:rsidRDefault="004262F6" w:rsidP="004262F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62F6" w:rsidRDefault="004262F6" w:rsidP="00426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262F6" w:rsidRDefault="004262F6" w:rsidP="00426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Л.И. </w:t>
      </w:r>
      <w:proofErr w:type="spellStart"/>
      <w:r>
        <w:rPr>
          <w:sz w:val="28"/>
          <w:szCs w:val="28"/>
        </w:rPr>
        <w:t>Орлецкая</w:t>
      </w:r>
      <w:proofErr w:type="spellEnd"/>
    </w:p>
    <w:p w:rsidR="004262F6" w:rsidRDefault="004262F6" w:rsidP="004262F6">
      <w:pPr>
        <w:rPr>
          <w:spacing w:val="-1"/>
          <w:sz w:val="28"/>
          <w:szCs w:val="28"/>
        </w:rPr>
      </w:pPr>
    </w:p>
    <w:p w:rsidR="004262F6" w:rsidRDefault="004262F6" w:rsidP="004262F6"/>
    <w:p w:rsidR="004262F6" w:rsidRDefault="004262F6" w:rsidP="004262F6"/>
    <w:p w:rsidR="00BE00DB" w:rsidRDefault="00BE00DB"/>
    <w:sectPr w:rsidR="00BE00DB" w:rsidSect="00426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C2"/>
    <w:rsid w:val="000E39D6"/>
    <w:rsid w:val="001B555A"/>
    <w:rsid w:val="00393426"/>
    <w:rsid w:val="004262F6"/>
    <w:rsid w:val="00771AC5"/>
    <w:rsid w:val="007D2FFF"/>
    <w:rsid w:val="0092136C"/>
    <w:rsid w:val="00A616C2"/>
    <w:rsid w:val="00BE00DB"/>
    <w:rsid w:val="00D868FB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37A5-D6AE-4002-89CE-91156193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64203/9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2710</Words>
  <Characters>15451</Characters>
  <Application>Microsoft Office Word</Application>
  <DocSecurity>0</DocSecurity>
  <Lines>128</Lines>
  <Paragraphs>36</Paragraphs>
  <ScaleCrop>false</ScaleCrop>
  <Company/>
  <LinksUpToDate>false</LinksUpToDate>
  <CharactersWithSpaces>18125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2024-05-16T12:47:00Z</dcterms:created>
  <dcterms:modified xsi:type="dcterms:W3CDTF">2024-05-16T12:49:00Z</dcterms:modified>
</cp:coreProperties>
</file>